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564F80" w14:textId="10220BC8" w:rsidR="00F21A29" w:rsidRDefault="00F21A29" w:rsidP="00F21A29">
      <w:pPr>
        <w:pStyle w:val="Heading1"/>
      </w:pPr>
      <w:r>
        <w:t>Cover Letter for Transmitting CBP Feasibility Study and Economic Analysis Technical Memo to IEUA Board Members, Member Agencies, and other Stakeholders</w:t>
      </w:r>
    </w:p>
    <w:p w14:paraId="3BF4E878" w14:textId="77777777" w:rsidR="00F21A29" w:rsidRDefault="00F21A29"/>
    <w:p w14:paraId="60CECC47" w14:textId="6F1B6E9E" w:rsidR="00FA7ACE" w:rsidRDefault="0026107F">
      <w:r>
        <w:t xml:space="preserve">IEUA provided a Chino Basin Program Feasibility Study to the California Water Commission (CWC) on October 20, 2021. This will allow the CWC to </w:t>
      </w:r>
      <w:proofErr w:type="gramStart"/>
      <w:r>
        <w:t>make a determination</w:t>
      </w:r>
      <w:proofErr w:type="gramEnd"/>
      <w:r>
        <w:t xml:space="preserve"> in the coming weeks that the Chino Basin Program is feasible and maintain IEUA’s eligibility for Proposition 1 Water Supply Investment Program</w:t>
      </w:r>
      <w:r w:rsidR="004A36A2" w:rsidRPr="004A36A2">
        <w:t xml:space="preserve"> in compliance with Water Code Section 79757 (a)(1)</w:t>
      </w:r>
      <w:r>
        <w:t xml:space="preserve">. This feasibility study includes an economic </w:t>
      </w:r>
      <w:r w:rsidR="00F21A29">
        <w:t>analysis</w:t>
      </w:r>
      <w:r>
        <w:t xml:space="preserve"> that </w:t>
      </w:r>
      <w:r w:rsidR="00013EC6">
        <w:t xml:space="preserve">includes estimates of </w:t>
      </w:r>
      <w:r>
        <w:t xml:space="preserve">project </w:t>
      </w:r>
      <w:r w:rsidR="00013EC6">
        <w:t xml:space="preserve">construction </w:t>
      </w:r>
      <w:r>
        <w:t xml:space="preserve">costs, </w:t>
      </w:r>
      <w:r w:rsidR="00013EC6">
        <w:t xml:space="preserve">total </w:t>
      </w:r>
      <w:r>
        <w:t>life-cycle</w:t>
      </w:r>
      <w:r w:rsidR="00013EC6">
        <w:t xml:space="preserve"> project </w:t>
      </w:r>
      <w:r>
        <w:t>costs</w:t>
      </w:r>
      <w:r w:rsidR="00013EC6">
        <w:t xml:space="preserve"> that include financing, replacement costs, operations and maintenance, and other annual costs, and total life-cycle project benefits that include water quality, water supply reliability, emergency water supply, and ecosystem benefits.</w:t>
      </w:r>
    </w:p>
    <w:p w14:paraId="392CF94B" w14:textId="44564C98" w:rsidR="004D2B0C" w:rsidRDefault="004A36A2">
      <w:r>
        <w:t xml:space="preserve">The feasibility study considers a Baseline Compliance </w:t>
      </w:r>
      <w:r w:rsidR="004D2B0C">
        <w:t>Plan a</w:t>
      </w:r>
      <w:r>
        <w:t xml:space="preserve">lternative, a Regional </w:t>
      </w:r>
      <w:r w:rsidR="004D2B0C" w:rsidRPr="004D2B0C">
        <w:t>Water Quality and Reliability Plan</w:t>
      </w:r>
      <w:r w:rsidR="004D2B0C">
        <w:t xml:space="preserve"> alternative, and the Chino Basin Program alternative, defined as follows:</w:t>
      </w:r>
    </w:p>
    <w:p w14:paraId="7BA271BC" w14:textId="55897AD0" w:rsidR="004A36A2" w:rsidRDefault="004D2B0C" w:rsidP="004D2B0C">
      <w:pPr>
        <w:pStyle w:val="ListParagraph"/>
        <w:numPr>
          <w:ilvl w:val="0"/>
          <w:numId w:val="2"/>
        </w:numPr>
      </w:pPr>
      <w:r>
        <w:t>The Baseline Compliance Plan alternative includes construction of a 9 thousand acre-feet per year (TAFY) capacity Advanced Water Purification Facility (AWPF)</w:t>
      </w:r>
      <w:r w:rsidR="00E45DEC">
        <w:t xml:space="preserve"> by 2030</w:t>
      </w:r>
      <w:r>
        <w:t>, the minimum required action to maintain water quality compliance in the Chino Basin through 2040. To maintain comparability among alternatives, additional actions projected to be necessary to maintain compliance beyond 2040 are also included in this alternative. These actions include expanding AWPF capacity to 15 TAFY and importing 6 TAFY of imported recycled water supplies to provide adequate AWPF influent by 2040.</w:t>
      </w:r>
      <w:r w:rsidR="00E45DEC">
        <w:t xml:space="preserve"> No new water supplies are developed through this alternative.</w:t>
      </w:r>
    </w:p>
    <w:p w14:paraId="0F74EE49" w14:textId="58F5B6A6" w:rsidR="00E45DEC" w:rsidRDefault="00E45DEC" w:rsidP="004D2B0C">
      <w:pPr>
        <w:pStyle w:val="ListParagraph"/>
        <w:numPr>
          <w:ilvl w:val="0"/>
          <w:numId w:val="2"/>
        </w:numPr>
      </w:pPr>
      <w:r>
        <w:t xml:space="preserve">The </w:t>
      </w:r>
      <w:r w:rsidRPr="00E45DEC">
        <w:t>Regional Water Quality and Reliability Plan alternative</w:t>
      </w:r>
      <w:r>
        <w:t xml:space="preserve"> includes the AWPF facilities considered in the Baseline Compliance alternative, all implemented by 2030. In addition, this alternative includes groundwater injection facilities, groundwater extraction facilities, and conveyance facilities that would provide 15 TAFY of new water supplies to the region.</w:t>
      </w:r>
    </w:p>
    <w:p w14:paraId="656CF4C4" w14:textId="279EDBAB" w:rsidR="00E45DEC" w:rsidRDefault="00E45DEC" w:rsidP="004D2B0C">
      <w:pPr>
        <w:pStyle w:val="ListParagraph"/>
        <w:numPr>
          <w:ilvl w:val="0"/>
          <w:numId w:val="2"/>
        </w:numPr>
      </w:pPr>
      <w:r>
        <w:t xml:space="preserve">The Chino Basin Program includes all of the facilities included the </w:t>
      </w:r>
      <w:r w:rsidRPr="00E45DEC">
        <w:t>Regional Water Quality and Reliability Plan</w:t>
      </w:r>
      <w:r>
        <w:t>, with capacity of groundwater extraction facilities expanded to 40 TAFY and an interconnection to Metropolitan’s distribution system included. The Chino Basin Program</w:t>
      </w:r>
      <w:r w:rsidR="0036615A">
        <w:t xml:space="preserve"> includes both eligibility for $212 million of Proposition 1 funds and a </w:t>
      </w:r>
      <w:r>
        <w:t xml:space="preserve">commitment to </w:t>
      </w:r>
      <w:r w:rsidR="0036615A">
        <w:t>exchange existing imported supplies from Metropolitan with new AWPF supplies for 25 years, to produce ecosystem benefits in the Bay-Delta watershed.</w:t>
      </w:r>
      <w:r>
        <w:t xml:space="preserve"> </w:t>
      </w:r>
    </w:p>
    <w:p w14:paraId="105E3F72" w14:textId="2AA14D10" w:rsidR="00013EC6" w:rsidRDefault="00013EC6">
      <w:r>
        <w:t xml:space="preserve">It is important to note that the feasibility study and economic evaluation provided to the CWC has been prepared to comply with </w:t>
      </w:r>
      <w:r w:rsidR="00707A33">
        <w:t xml:space="preserve">that agency’s </w:t>
      </w:r>
      <w:r>
        <w:t>regulations and direction</w:t>
      </w:r>
      <w:r w:rsidR="00707A33">
        <w:t>. To that end, the total life cycle costs and benefits are considered from the perspective of the entire State of California and are not limited or inclusive of all costs and benefits that would accrue to IEUA and its member agencies.</w:t>
      </w:r>
    </w:p>
    <w:p w14:paraId="3C8C8F61" w14:textId="2F5B5A4C" w:rsidR="00707A33" w:rsidRDefault="00707A33">
      <w:r>
        <w:t xml:space="preserve">Specifically, the costs </w:t>
      </w:r>
      <w:r w:rsidR="0091032F">
        <w:t xml:space="preserve">and benefits </w:t>
      </w:r>
      <w:r w:rsidR="0036615A">
        <w:t xml:space="preserve">estimated from a statewide perspective </w:t>
      </w:r>
      <w:r>
        <w:t xml:space="preserve">in the feasibility study differ from cost </w:t>
      </w:r>
      <w:r w:rsidR="0091032F">
        <w:t xml:space="preserve">and benefits </w:t>
      </w:r>
      <w:r>
        <w:t xml:space="preserve">that would </w:t>
      </w:r>
      <w:r w:rsidR="0036615A">
        <w:t xml:space="preserve">accrue to </w:t>
      </w:r>
      <w:r>
        <w:t>IEUA include:</w:t>
      </w:r>
    </w:p>
    <w:p w14:paraId="09162BD8" w14:textId="140E2592" w:rsidR="00707A33" w:rsidRDefault="00707A33" w:rsidP="00707A33">
      <w:pPr>
        <w:pStyle w:val="ListParagraph"/>
        <w:numPr>
          <w:ilvl w:val="0"/>
          <w:numId w:val="1"/>
        </w:numPr>
      </w:pPr>
      <w:r>
        <w:lastRenderedPageBreak/>
        <w:t>A valuation of existing internal recycled water supplies that are currently released to the Santa Ana River and may be used by downstream entities</w:t>
      </w:r>
      <w:r w:rsidR="0036615A">
        <w:t xml:space="preserve"> is included in the feasibility study. IEUA would not be financially responsible for these costs.</w:t>
      </w:r>
    </w:p>
    <w:p w14:paraId="71D60354" w14:textId="3346CDA5" w:rsidR="00707A33" w:rsidRDefault="00707A33" w:rsidP="00707A33">
      <w:pPr>
        <w:pStyle w:val="ListParagraph"/>
        <w:numPr>
          <w:ilvl w:val="0"/>
          <w:numId w:val="1"/>
        </w:numPr>
      </w:pPr>
      <w:r>
        <w:t xml:space="preserve">The cost offset </w:t>
      </w:r>
      <w:r w:rsidR="0036615A">
        <w:t xml:space="preserve">to IEUA </w:t>
      </w:r>
      <w:r>
        <w:t>provided by the $212 million of Proposition 1 Water Supply Investment Program funds are not deducted from project capital costs.</w:t>
      </w:r>
    </w:p>
    <w:p w14:paraId="2941B759" w14:textId="287677B1" w:rsidR="00E031E6" w:rsidRDefault="0091032F" w:rsidP="00D73694">
      <w:pPr>
        <w:pStyle w:val="ListParagraph"/>
        <w:numPr>
          <w:ilvl w:val="0"/>
          <w:numId w:val="1"/>
        </w:numPr>
      </w:pPr>
      <w:r>
        <w:t xml:space="preserve">The benefits of </w:t>
      </w:r>
      <w:r w:rsidR="004A36A2">
        <w:t>i</w:t>
      </w:r>
      <w:r>
        <w:t xml:space="preserve">n </w:t>
      </w:r>
      <w:r w:rsidR="004A36A2">
        <w:t>l</w:t>
      </w:r>
      <w:r>
        <w:t>ieu use of CBP water supply in place of deliveries from Metropolitan are limited to the State Water Project energy costs savings that would accrue to Metropolitan</w:t>
      </w:r>
      <w:r w:rsidR="0036615A">
        <w:t>,</w:t>
      </w:r>
      <w:r>
        <w:t xml:space="preserve"> instead of the full </w:t>
      </w:r>
      <w:r w:rsidR="00254187">
        <w:t xml:space="preserve">Metropolitan </w:t>
      </w:r>
      <w:r>
        <w:t>Tier 1 Rate that IEUA would realize as a cost savings.</w:t>
      </w:r>
    </w:p>
    <w:p w14:paraId="5B6A3BE4" w14:textId="00833CF1" w:rsidR="00D73694" w:rsidRDefault="00254187" w:rsidP="0036615A">
      <w:r>
        <w:t xml:space="preserve">The cumulative effect of these differences in </w:t>
      </w:r>
      <w:r w:rsidR="00D73694">
        <w:t xml:space="preserve">economic </w:t>
      </w:r>
      <w:r>
        <w:t xml:space="preserve">perspective are summarized in the table below. In comparison to the statewide perspective, </w:t>
      </w:r>
      <w:r w:rsidR="00D73694">
        <w:t xml:space="preserve">IEUA’s perspective loan costs are lower due to the Proposition 1 investment that offsets construction costs, water supply benefits are higher due to not paying Metropolitan Tier 1 rates for exchanged in lieu water supplies, and recycled water costs are lower due to not incurring financial responsibility for the value of internal recycled water supplies to downstream entities. Additionally, ecosystem benefits that accrue in the Bay-Delta watershed do not directly affect IUEA and those benefits are not included from IEUA’s perspective. All considered, the benefit–cost ratio of </w:t>
      </w:r>
      <w:r w:rsidR="0059097E">
        <w:t xml:space="preserve">the Chino Basin Program from IEUA’s perspective increases relative to the statewide perspective and is comparable to the benefit-cost ratio of the Regional </w:t>
      </w:r>
      <w:r w:rsidR="0059097E" w:rsidRPr="0059097E">
        <w:t>Water Quality and Reliability Plan alternative</w:t>
      </w:r>
      <w:r w:rsidR="0059097E">
        <w:t xml:space="preserve">. </w:t>
      </w:r>
    </w:p>
    <w:p w14:paraId="4863C50C" w14:textId="435E11AE" w:rsidR="00D73694" w:rsidRDefault="0059097E">
      <w:pPr>
        <w:rPr>
          <w:rFonts w:ascii="Arial" w:eastAsia="Arial" w:hAnsi="Arial" w:cs="Arial"/>
          <w:b/>
          <w:color w:val="231F20"/>
          <w:szCs w:val="20"/>
          <w:lang w:bidi="en-US"/>
        </w:rPr>
      </w:pPr>
      <w:r>
        <w:t xml:space="preserve">The conclusions of the feasibility study and economic evaluation stand regardless of economic perspective. All alternatives are feasible and provide return for the required investment. </w:t>
      </w:r>
      <w:bookmarkStart w:id="0" w:name="_Toc85619343"/>
      <w:r>
        <w:t>The R</w:t>
      </w:r>
      <w:r w:rsidRPr="0059097E">
        <w:t xml:space="preserve">egional Water Quality and Reliability Plan </w:t>
      </w:r>
      <w:r>
        <w:t xml:space="preserve">and </w:t>
      </w:r>
      <w:r w:rsidRPr="0059097E">
        <w:t xml:space="preserve">Chino Basin Program </w:t>
      </w:r>
      <w:r>
        <w:t>offer greater return by leveraging investments in baseline water quality compliance to produce new water supplies.</w:t>
      </w:r>
      <w:r w:rsidRPr="0059097E">
        <w:t xml:space="preserve"> If the supplemental water supply provided by the Regional Water Quality and Reliability Plan for the first 25 years of the project life is not required to meet growing demands, then both alternatives offer similar water supply benefits due to their ability to help avoid regional water shortages over that period</w:t>
      </w:r>
      <w:proofErr w:type="gramStart"/>
      <w:r w:rsidRPr="0059097E">
        <w:t xml:space="preserve">.  </w:t>
      </w:r>
      <w:proofErr w:type="gramEnd"/>
      <w:r w:rsidRPr="0059097E">
        <w:t xml:space="preserve">During the second 25 years of project life, the CBP offers a lower cost approach to IEUA to securing an equivalent level of water supply benefit as the Regional Water Quality and Reliability Plan, while providing greater flexibility for groundwater management due to the increased groundwater extraction capacity and water system interconnection infrastructure provided by the alternative. </w:t>
      </w:r>
      <w:r w:rsidR="00D73694">
        <w:br w:type="page"/>
      </w:r>
    </w:p>
    <w:p w14:paraId="797D1A3D" w14:textId="64FFE792" w:rsidR="00E031E6" w:rsidRPr="00524254" w:rsidRDefault="00D73694" w:rsidP="00E031E6">
      <w:pPr>
        <w:pStyle w:val="TableTitle"/>
        <w:widowControl/>
      </w:pPr>
      <w:r>
        <w:lastRenderedPageBreak/>
        <w:t xml:space="preserve">Capital Costs and </w:t>
      </w:r>
      <w:r w:rsidR="00E031E6" w:rsidRPr="00524254">
        <w:t>Life Cycle Present Value Benefits and Costs of Alternatives</w:t>
      </w:r>
      <w:r w:rsidR="00E031E6" w:rsidRPr="00524254">
        <w:br/>
      </w:r>
      <w:bookmarkStart w:id="1" w:name="_Hlk85622688"/>
      <w:r w:rsidR="00E031E6" w:rsidRPr="00524254">
        <w:t>($</w:t>
      </w:r>
      <w:r w:rsidR="00E031E6">
        <w:t xml:space="preserve"> m</w:t>
      </w:r>
      <w:r w:rsidR="00E031E6" w:rsidRPr="00524254">
        <w:t>illion)</w:t>
      </w:r>
      <w:bookmarkEnd w:id="0"/>
      <w:bookmarkEnd w:id="1"/>
    </w:p>
    <w:p w14:paraId="1AEABE66" w14:textId="77777777" w:rsidR="00E031E6" w:rsidRDefault="00E031E6" w:rsidP="0036615A"/>
    <w:tbl>
      <w:tblPr>
        <w:tblStyle w:val="GridTable4-Accent1"/>
        <w:tblW w:w="9535" w:type="dxa"/>
        <w:tblLayout w:type="fixed"/>
        <w:tblLook w:val="04A0" w:firstRow="1" w:lastRow="0" w:firstColumn="1" w:lastColumn="0" w:noHBand="0" w:noVBand="1"/>
      </w:tblPr>
      <w:tblGrid>
        <w:gridCol w:w="2016"/>
        <w:gridCol w:w="1253"/>
        <w:gridCol w:w="1253"/>
        <w:gridCol w:w="1253"/>
        <w:gridCol w:w="1253"/>
        <w:gridCol w:w="1253"/>
        <w:gridCol w:w="1254"/>
      </w:tblGrid>
      <w:tr w:rsidR="00C57F2E" w:rsidRPr="00524254" w14:paraId="7A896357" w14:textId="77777777" w:rsidTr="00555FE6">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016" w:type="dxa"/>
            <w:tcBorders>
              <w:right w:val="single" w:sz="8" w:space="0" w:color="FFFFFF" w:themeColor="background1"/>
            </w:tcBorders>
            <w:vAlign w:val="center"/>
          </w:tcPr>
          <w:p w14:paraId="5A969F80" w14:textId="77777777" w:rsidR="00C57F2E" w:rsidRPr="00524254" w:rsidRDefault="00C57F2E" w:rsidP="009C34F9">
            <w:pPr>
              <w:pStyle w:val="TableText"/>
              <w:jc w:val="center"/>
            </w:pPr>
          </w:p>
        </w:tc>
        <w:tc>
          <w:tcPr>
            <w:tcW w:w="3759" w:type="dxa"/>
            <w:gridSpan w:val="3"/>
            <w:tcBorders>
              <w:left w:val="single" w:sz="8" w:space="0" w:color="FFFFFF" w:themeColor="background1"/>
              <w:bottom w:val="single" w:sz="8" w:space="0" w:color="FFFFFF" w:themeColor="background1"/>
              <w:right w:val="single" w:sz="8" w:space="0" w:color="FFFFFF" w:themeColor="background1"/>
            </w:tcBorders>
            <w:vAlign w:val="center"/>
          </w:tcPr>
          <w:p w14:paraId="33FD3624" w14:textId="592E4BAE" w:rsidR="00C57F2E" w:rsidRPr="00C57F2E" w:rsidRDefault="00C57F2E" w:rsidP="009C34F9">
            <w:pPr>
              <w:pStyle w:val="TableText"/>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Statewide Perspective for Feasibility Study</w:t>
            </w:r>
          </w:p>
        </w:tc>
        <w:tc>
          <w:tcPr>
            <w:tcW w:w="3760" w:type="dxa"/>
            <w:gridSpan w:val="3"/>
            <w:tcBorders>
              <w:left w:val="single" w:sz="8" w:space="0" w:color="FFFFFF" w:themeColor="background1"/>
              <w:bottom w:val="single" w:sz="8" w:space="0" w:color="FFFFFF" w:themeColor="background1"/>
              <w:right w:val="nil"/>
            </w:tcBorders>
          </w:tcPr>
          <w:p w14:paraId="27837E1A" w14:textId="68FC3FC9" w:rsidR="00C57F2E" w:rsidRPr="00C57F2E" w:rsidRDefault="00C57F2E" w:rsidP="009C34F9">
            <w:pPr>
              <w:pStyle w:val="TableText"/>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IEUA Perspective</w:t>
            </w:r>
          </w:p>
        </w:tc>
      </w:tr>
      <w:tr w:rsidR="00555FE6" w:rsidRPr="00524254" w14:paraId="7397950D" w14:textId="536A8BFE" w:rsidTr="00555FE6">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016" w:type="dxa"/>
            <w:tcBorders>
              <w:top w:val="single" w:sz="4" w:space="0" w:color="4472C4" w:themeColor="accent1"/>
              <w:right w:val="single" w:sz="8" w:space="0" w:color="FFFFFF" w:themeColor="background1"/>
            </w:tcBorders>
            <w:shd w:val="clear" w:color="auto" w:fill="4472C4" w:themeFill="accent1"/>
            <w:vAlign w:val="center"/>
          </w:tcPr>
          <w:p w14:paraId="6C4D5ACD" w14:textId="77777777" w:rsidR="00555FE6" w:rsidRPr="00C57F2E" w:rsidRDefault="00555FE6" w:rsidP="00555FE6">
            <w:pPr>
              <w:pStyle w:val="TableText"/>
              <w:jc w:val="center"/>
              <w:rPr>
                <w:color w:val="FFFFFF" w:themeColor="background1"/>
              </w:rPr>
            </w:pPr>
          </w:p>
        </w:tc>
        <w:tc>
          <w:tcPr>
            <w:tcW w:w="1253" w:type="dxa"/>
            <w:tcBorders>
              <w:top w:val="single" w:sz="8" w:space="0" w:color="FFFFFF" w:themeColor="background1"/>
              <w:left w:val="single" w:sz="8" w:space="0" w:color="FFFFFF" w:themeColor="background1"/>
            </w:tcBorders>
            <w:shd w:val="clear" w:color="auto" w:fill="4472C4" w:themeFill="accent1"/>
            <w:vAlign w:val="bottom"/>
          </w:tcPr>
          <w:p w14:paraId="6EA15039" w14:textId="77777777" w:rsidR="00555FE6" w:rsidRPr="00C57F2E" w:rsidRDefault="00555FE6" w:rsidP="00555FE6">
            <w:pPr>
              <w:pStyle w:val="TableText"/>
              <w:jc w:val="center"/>
              <w:cnfStyle w:val="000000100000" w:firstRow="0" w:lastRow="0" w:firstColumn="0" w:lastColumn="0" w:oddVBand="0" w:evenVBand="0" w:oddHBand="1" w:evenHBand="0" w:firstRowFirstColumn="0" w:firstRowLastColumn="0" w:lastRowFirstColumn="0" w:lastRowLastColumn="0"/>
              <w:rPr>
                <w:color w:val="FFFFFF" w:themeColor="background1"/>
                <w:sz w:val="20"/>
                <w:szCs w:val="20"/>
              </w:rPr>
            </w:pPr>
            <w:r w:rsidRPr="00C57F2E">
              <w:rPr>
                <w:color w:val="FFFFFF" w:themeColor="background1"/>
                <w:sz w:val="20"/>
                <w:szCs w:val="20"/>
              </w:rPr>
              <w:t>Baseline Compliance Plan</w:t>
            </w:r>
          </w:p>
        </w:tc>
        <w:tc>
          <w:tcPr>
            <w:tcW w:w="1253" w:type="dxa"/>
            <w:tcBorders>
              <w:top w:val="single" w:sz="8" w:space="0" w:color="FFFFFF" w:themeColor="background1"/>
            </w:tcBorders>
            <w:shd w:val="clear" w:color="auto" w:fill="4472C4" w:themeFill="accent1"/>
            <w:vAlign w:val="bottom"/>
          </w:tcPr>
          <w:p w14:paraId="3D8F8E52" w14:textId="77777777" w:rsidR="00555FE6" w:rsidRPr="00C57F2E" w:rsidRDefault="00555FE6" w:rsidP="00555FE6">
            <w:pPr>
              <w:pStyle w:val="TableText"/>
              <w:jc w:val="center"/>
              <w:cnfStyle w:val="000000100000" w:firstRow="0" w:lastRow="0" w:firstColumn="0" w:lastColumn="0" w:oddVBand="0" w:evenVBand="0" w:oddHBand="1" w:evenHBand="0" w:firstRowFirstColumn="0" w:firstRowLastColumn="0" w:lastRowFirstColumn="0" w:lastRowLastColumn="0"/>
              <w:rPr>
                <w:color w:val="FFFFFF" w:themeColor="background1"/>
                <w:sz w:val="20"/>
                <w:szCs w:val="20"/>
              </w:rPr>
            </w:pPr>
            <w:r w:rsidRPr="00C57F2E">
              <w:rPr>
                <w:color w:val="FFFFFF" w:themeColor="background1"/>
                <w:sz w:val="20"/>
                <w:szCs w:val="20"/>
              </w:rPr>
              <w:t xml:space="preserve">Regional Water Quality and </w:t>
            </w:r>
            <w:proofErr w:type="gramStart"/>
            <w:r w:rsidRPr="00C57F2E">
              <w:rPr>
                <w:color w:val="FFFFFF" w:themeColor="background1"/>
                <w:sz w:val="20"/>
                <w:szCs w:val="20"/>
              </w:rPr>
              <w:t>Reliability  Plan</w:t>
            </w:r>
            <w:proofErr w:type="gramEnd"/>
          </w:p>
        </w:tc>
        <w:tc>
          <w:tcPr>
            <w:tcW w:w="1253" w:type="dxa"/>
            <w:tcBorders>
              <w:top w:val="single" w:sz="8" w:space="0" w:color="FFFFFF" w:themeColor="background1"/>
              <w:bottom w:val="single" w:sz="8" w:space="0" w:color="8EAADB" w:themeColor="accent1" w:themeTint="99"/>
              <w:right w:val="single" w:sz="8" w:space="0" w:color="FFFFFF" w:themeColor="background1"/>
            </w:tcBorders>
            <w:shd w:val="clear" w:color="auto" w:fill="4472C4" w:themeFill="accent1"/>
            <w:vAlign w:val="bottom"/>
          </w:tcPr>
          <w:p w14:paraId="4753C41E" w14:textId="77777777" w:rsidR="00555FE6" w:rsidRPr="00C57F2E" w:rsidRDefault="00555FE6" w:rsidP="00555FE6">
            <w:pPr>
              <w:pStyle w:val="TableText"/>
              <w:jc w:val="center"/>
              <w:cnfStyle w:val="000000100000" w:firstRow="0" w:lastRow="0" w:firstColumn="0" w:lastColumn="0" w:oddVBand="0" w:evenVBand="0" w:oddHBand="1" w:evenHBand="0" w:firstRowFirstColumn="0" w:firstRowLastColumn="0" w:lastRowFirstColumn="0" w:lastRowLastColumn="0"/>
              <w:rPr>
                <w:i/>
                <w:iCs/>
                <w:color w:val="FFFFFF" w:themeColor="background1"/>
                <w:sz w:val="20"/>
                <w:szCs w:val="20"/>
              </w:rPr>
            </w:pPr>
            <w:r w:rsidRPr="00C57F2E">
              <w:rPr>
                <w:color w:val="FFFFFF" w:themeColor="background1"/>
                <w:sz w:val="20"/>
                <w:szCs w:val="20"/>
              </w:rPr>
              <w:t>Chino Basin Program</w:t>
            </w:r>
          </w:p>
        </w:tc>
        <w:tc>
          <w:tcPr>
            <w:tcW w:w="1253" w:type="dxa"/>
            <w:tcBorders>
              <w:top w:val="single" w:sz="8" w:space="0" w:color="FFFFFF" w:themeColor="background1"/>
              <w:left w:val="single" w:sz="8" w:space="0" w:color="FFFFFF" w:themeColor="background1"/>
            </w:tcBorders>
            <w:shd w:val="clear" w:color="auto" w:fill="4472C4" w:themeFill="accent1"/>
            <w:vAlign w:val="bottom"/>
          </w:tcPr>
          <w:p w14:paraId="44FB6D6E" w14:textId="3D9C0FB1" w:rsidR="00555FE6" w:rsidRPr="00C57F2E" w:rsidRDefault="00555FE6" w:rsidP="00555FE6">
            <w:pPr>
              <w:pStyle w:val="TableText"/>
              <w:jc w:val="center"/>
              <w:cnfStyle w:val="000000100000" w:firstRow="0" w:lastRow="0" w:firstColumn="0" w:lastColumn="0" w:oddVBand="0" w:evenVBand="0" w:oddHBand="1" w:evenHBand="0" w:firstRowFirstColumn="0" w:firstRowLastColumn="0" w:lastRowFirstColumn="0" w:lastRowLastColumn="0"/>
              <w:rPr>
                <w:color w:val="FFFFFF" w:themeColor="background1"/>
                <w:sz w:val="20"/>
                <w:szCs w:val="20"/>
              </w:rPr>
            </w:pPr>
            <w:r w:rsidRPr="00C57F2E">
              <w:rPr>
                <w:color w:val="FFFFFF" w:themeColor="background1"/>
                <w:sz w:val="20"/>
                <w:szCs w:val="20"/>
              </w:rPr>
              <w:t>Baseline Compliance Plan</w:t>
            </w:r>
          </w:p>
        </w:tc>
        <w:tc>
          <w:tcPr>
            <w:tcW w:w="1253" w:type="dxa"/>
            <w:tcBorders>
              <w:top w:val="single" w:sz="8" w:space="0" w:color="FFFFFF" w:themeColor="background1"/>
            </w:tcBorders>
            <w:shd w:val="clear" w:color="auto" w:fill="4472C4" w:themeFill="accent1"/>
            <w:vAlign w:val="bottom"/>
          </w:tcPr>
          <w:p w14:paraId="0363A9C2" w14:textId="2712C248" w:rsidR="00555FE6" w:rsidRPr="00C57F2E" w:rsidRDefault="00555FE6" w:rsidP="00555FE6">
            <w:pPr>
              <w:pStyle w:val="TableText"/>
              <w:jc w:val="center"/>
              <w:cnfStyle w:val="000000100000" w:firstRow="0" w:lastRow="0" w:firstColumn="0" w:lastColumn="0" w:oddVBand="0" w:evenVBand="0" w:oddHBand="1" w:evenHBand="0" w:firstRowFirstColumn="0" w:firstRowLastColumn="0" w:lastRowFirstColumn="0" w:lastRowLastColumn="0"/>
              <w:rPr>
                <w:color w:val="FFFFFF" w:themeColor="background1"/>
                <w:sz w:val="20"/>
                <w:szCs w:val="20"/>
              </w:rPr>
            </w:pPr>
            <w:r w:rsidRPr="00C57F2E">
              <w:rPr>
                <w:color w:val="FFFFFF" w:themeColor="background1"/>
                <w:sz w:val="20"/>
                <w:szCs w:val="20"/>
              </w:rPr>
              <w:t xml:space="preserve">Regional Water Quality and </w:t>
            </w:r>
            <w:proofErr w:type="gramStart"/>
            <w:r w:rsidRPr="00C57F2E">
              <w:rPr>
                <w:color w:val="FFFFFF" w:themeColor="background1"/>
                <w:sz w:val="20"/>
                <w:szCs w:val="20"/>
              </w:rPr>
              <w:t>Reliability  Plan</w:t>
            </w:r>
            <w:proofErr w:type="gramEnd"/>
          </w:p>
        </w:tc>
        <w:tc>
          <w:tcPr>
            <w:tcW w:w="1254" w:type="dxa"/>
            <w:tcBorders>
              <w:top w:val="single" w:sz="8" w:space="0" w:color="FFFFFF" w:themeColor="background1"/>
              <w:bottom w:val="single" w:sz="8" w:space="0" w:color="8EAADB" w:themeColor="accent1" w:themeTint="99"/>
              <w:right w:val="single" w:sz="8" w:space="0" w:color="FFFFFF" w:themeColor="background1"/>
            </w:tcBorders>
            <w:shd w:val="clear" w:color="auto" w:fill="4472C4" w:themeFill="accent1"/>
            <w:vAlign w:val="bottom"/>
          </w:tcPr>
          <w:p w14:paraId="398971E1" w14:textId="15B41ADA" w:rsidR="00555FE6" w:rsidRPr="00C57F2E" w:rsidRDefault="00555FE6" w:rsidP="00555FE6">
            <w:pPr>
              <w:pStyle w:val="TableText"/>
              <w:jc w:val="center"/>
              <w:cnfStyle w:val="000000100000" w:firstRow="0" w:lastRow="0" w:firstColumn="0" w:lastColumn="0" w:oddVBand="0" w:evenVBand="0" w:oddHBand="1" w:evenHBand="0" w:firstRowFirstColumn="0" w:firstRowLastColumn="0" w:lastRowFirstColumn="0" w:lastRowLastColumn="0"/>
              <w:rPr>
                <w:color w:val="FFFFFF" w:themeColor="background1"/>
                <w:sz w:val="20"/>
                <w:szCs w:val="20"/>
              </w:rPr>
            </w:pPr>
            <w:r w:rsidRPr="00C57F2E">
              <w:rPr>
                <w:color w:val="FFFFFF" w:themeColor="background1"/>
                <w:sz w:val="20"/>
                <w:szCs w:val="20"/>
              </w:rPr>
              <w:t>Chino Basin Program</w:t>
            </w:r>
          </w:p>
        </w:tc>
      </w:tr>
      <w:tr w:rsidR="00555FE6" w:rsidRPr="00524254" w14:paraId="4E66F26B" w14:textId="77777777" w:rsidTr="00254187">
        <w:trPr>
          <w:trHeight w:val="360"/>
        </w:trPr>
        <w:tc>
          <w:tcPr>
            <w:cnfStyle w:val="001000000000" w:firstRow="0" w:lastRow="0" w:firstColumn="1" w:lastColumn="0" w:oddVBand="0" w:evenVBand="0" w:oddHBand="0" w:evenHBand="0" w:firstRowFirstColumn="0" w:firstRowLastColumn="0" w:lastRowFirstColumn="0" w:lastRowLastColumn="0"/>
            <w:tcW w:w="2016" w:type="dxa"/>
            <w:tcBorders>
              <w:left w:val="single" w:sz="12" w:space="0" w:color="8EAADB" w:themeColor="accent1" w:themeTint="99"/>
            </w:tcBorders>
            <w:vAlign w:val="center"/>
          </w:tcPr>
          <w:p w14:paraId="2FD2786E" w14:textId="77777777" w:rsidR="00555FE6" w:rsidRDefault="00555FE6" w:rsidP="00555FE6">
            <w:pPr>
              <w:pStyle w:val="TableText"/>
              <w:rPr>
                <w:b w:val="0"/>
                <w:bCs w:val="0"/>
              </w:rPr>
            </w:pPr>
            <w:r w:rsidRPr="00524254">
              <w:t>Total Capital Cost</w:t>
            </w:r>
          </w:p>
          <w:p w14:paraId="32147076" w14:textId="3862DBBE" w:rsidR="00555FE6" w:rsidRPr="00524254" w:rsidRDefault="00555FE6" w:rsidP="00555FE6">
            <w:pPr>
              <w:pStyle w:val="TableText"/>
            </w:pPr>
            <w:r w:rsidRPr="00524254">
              <w:t>(</w:t>
            </w:r>
            <w:r>
              <w:t xml:space="preserve">2019 </w:t>
            </w:r>
            <w:r w:rsidRPr="00524254">
              <w:t>$ million)</w:t>
            </w:r>
          </w:p>
        </w:tc>
        <w:tc>
          <w:tcPr>
            <w:tcW w:w="1253" w:type="dxa"/>
            <w:vAlign w:val="center"/>
          </w:tcPr>
          <w:p w14:paraId="552B30FD" w14:textId="0C478DEE" w:rsidR="00555FE6" w:rsidRPr="00254187" w:rsidRDefault="00555FE6" w:rsidP="00555FE6">
            <w:pPr>
              <w:pStyle w:val="TableText"/>
              <w:jc w:val="center"/>
              <w:cnfStyle w:val="000000000000" w:firstRow="0" w:lastRow="0" w:firstColumn="0" w:lastColumn="0" w:oddVBand="0" w:evenVBand="0" w:oddHBand="0" w:evenHBand="0" w:firstRowFirstColumn="0" w:firstRowLastColumn="0" w:lastRowFirstColumn="0" w:lastRowLastColumn="0"/>
              <w:rPr>
                <w:b/>
                <w:bCs/>
              </w:rPr>
            </w:pPr>
            <w:r w:rsidRPr="00254187">
              <w:rPr>
                <w:b/>
                <w:bCs/>
              </w:rPr>
              <w:t>$355.8</w:t>
            </w:r>
          </w:p>
        </w:tc>
        <w:tc>
          <w:tcPr>
            <w:tcW w:w="1253" w:type="dxa"/>
            <w:vAlign w:val="center"/>
          </w:tcPr>
          <w:p w14:paraId="750336BE" w14:textId="301CA300" w:rsidR="00555FE6" w:rsidRPr="00254187" w:rsidRDefault="00555FE6" w:rsidP="00555FE6">
            <w:pPr>
              <w:pStyle w:val="TableText"/>
              <w:jc w:val="center"/>
              <w:cnfStyle w:val="000000000000" w:firstRow="0" w:lastRow="0" w:firstColumn="0" w:lastColumn="0" w:oddVBand="0" w:evenVBand="0" w:oddHBand="0" w:evenHBand="0" w:firstRowFirstColumn="0" w:firstRowLastColumn="0" w:lastRowFirstColumn="0" w:lastRowLastColumn="0"/>
              <w:rPr>
                <w:b/>
                <w:bCs/>
              </w:rPr>
            </w:pPr>
            <w:r w:rsidRPr="00254187">
              <w:rPr>
                <w:b/>
                <w:bCs/>
              </w:rPr>
              <w:t>$538.9</w:t>
            </w:r>
          </w:p>
        </w:tc>
        <w:tc>
          <w:tcPr>
            <w:tcW w:w="1253" w:type="dxa"/>
            <w:tcBorders>
              <w:top w:val="single" w:sz="8" w:space="0" w:color="8EAADB" w:themeColor="accent1" w:themeTint="99"/>
              <w:left w:val="single" w:sz="8" w:space="0" w:color="8EAADB" w:themeColor="accent1" w:themeTint="99"/>
              <w:bottom w:val="single" w:sz="8" w:space="0" w:color="8EAADB" w:themeColor="accent1" w:themeTint="99"/>
              <w:right w:val="single" w:sz="12" w:space="0" w:color="8EAADB" w:themeColor="accent1" w:themeTint="99"/>
            </w:tcBorders>
            <w:vAlign w:val="center"/>
          </w:tcPr>
          <w:p w14:paraId="17581940" w14:textId="66A8F93E" w:rsidR="00555FE6" w:rsidRPr="00254187" w:rsidRDefault="00555FE6" w:rsidP="00555FE6">
            <w:pPr>
              <w:pStyle w:val="TableText"/>
              <w:jc w:val="center"/>
              <w:cnfStyle w:val="000000000000" w:firstRow="0" w:lastRow="0" w:firstColumn="0" w:lastColumn="0" w:oddVBand="0" w:evenVBand="0" w:oddHBand="0" w:evenHBand="0" w:firstRowFirstColumn="0" w:firstRowLastColumn="0" w:lastRowFirstColumn="0" w:lastRowLastColumn="0"/>
              <w:rPr>
                <w:b/>
                <w:bCs/>
              </w:rPr>
            </w:pPr>
            <w:r w:rsidRPr="00254187">
              <w:rPr>
                <w:b/>
                <w:bCs/>
              </w:rPr>
              <w:t>$665.9</w:t>
            </w:r>
          </w:p>
        </w:tc>
        <w:tc>
          <w:tcPr>
            <w:tcW w:w="1253" w:type="dxa"/>
            <w:vAlign w:val="center"/>
          </w:tcPr>
          <w:p w14:paraId="29CD7A67" w14:textId="4A81132D" w:rsidR="00555FE6" w:rsidRPr="00254187" w:rsidRDefault="00555FE6" w:rsidP="00555FE6">
            <w:pPr>
              <w:pStyle w:val="TableText"/>
              <w:jc w:val="center"/>
              <w:cnfStyle w:val="000000000000" w:firstRow="0" w:lastRow="0" w:firstColumn="0" w:lastColumn="0" w:oddVBand="0" w:evenVBand="0" w:oddHBand="0" w:evenHBand="0" w:firstRowFirstColumn="0" w:firstRowLastColumn="0" w:lastRowFirstColumn="0" w:lastRowLastColumn="0"/>
              <w:rPr>
                <w:b/>
                <w:bCs/>
              </w:rPr>
            </w:pPr>
            <w:r w:rsidRPr="00254187">
              <w:rPr>
                <w:b/>
                <w:bCs/>
              </w:rPr>
              <w:t>$355.8</w:t>
            </w:r>
          </w:p>
        </w:tc>
        <w:tc>
          <w:tcPr>
            <w:tcW w:w="1253" w:type="dxa"/>
            <w:vAlign w:val="center"/>
          </w:tcPr>
          <w:p w14:paraId="4ADD8634" w14:textId="54C98422" w:rsidR="00555FE6" w:rsidRPr="00254187" w:rsidRDefault="00555FE6" w:rsidP="00555FE6">
            <w:pPr>
              <w:pStyle w:val="TableText"/>
              <w:jc w:val="center"/>
              <w:cnfStyle w:val="000000000000" w:firstRow="0" w:lastRow="0" w:firstColumn="0" w:lastColumn="0" w:oddVBand="0" w:evenVBand="0" w:oddHBand="0" w:evenHBand="0" w:firstRowFirstColumn="0" w:firstRowLastColumn="0" w:lastRowFirstColumn="0" w:lastRowLastColumn="0"/>
              <w:rPr>
                <w:b/>
                <w:bCs/>
              </w:rPr>
            </w:pPr>
            <w:r w:rsidRPr="00254187">
              <w:rPr>
                <w:b/>
                <w:bCs/>
              </w:rPr>
              <w:t>$538.9</w:t>
            </w:r>
          </w:p>
        </w:tc>
        <w:tc>
          <w:tcPr>
            <w:tcW w:w="1254" w:type="dxa"/>
            <w:tcBorders>
              <w:top w:val="single" w:sz="8" w:space="0" w:color="8EAADB" w:themeColor="accent1" w:themeTint="99"/>
              <w:left w:val="single" w:sz="8" w:space="0" w:color="8EAADB" w:themeColor="accent1" w:themeTint="99"/>
              <w:bottom w:val="single" w:sz="8" w:space="0" w:color="8EAADB" w:themeColor="accent1" w:themeTint="99"/>
              <w:right w:val="single" w:sz="12" w:space="0" w:color="8EAADB" w:themeColor="accent1" w:themeTint="99"/>
            </w:tcBorders>
            <w:vAlign w:val="center"/>
          </w:tcPr>
          <w:p w14:paraId="2F7248FE" w14:textId="51DEDD93" w:rsidR="00555FE6" w:rsidRPr="00254187" w:rsidRDefault="00555FE6" w:rsidP="00555FE6">
            <w:pPr>
              <w:pStyle w:val="TableText"/>
              <w:jc w:val="center"/>
              <w:cnfStyle w:val="000000000000" w:firstRow="0" w:lastRow="0" w:firstColumn="0" w:lastColumn="0" w:oddVBand="0" w:evenVBand="0" w:oddHBand="0" w:evenHBand="0" w:firstRowFirstColumn="0" w:firstRowLastColumn="0" w:lastRowFirstColumn="0" w:lastRowLastColumn="0"/>
              <w:rPr>
                <w:b/>
                <w:bCs/>
              </w:rPr>
            </w:pPr>
            <w:r w:rsidRPr="00254187">
              <w:rPr>
                <w:b/>
                <w:bCs/>
              </w:rPr>
              <w:t>$665.9</w:t>
            </w:r>
          </w:p>
        </w:tc>
      </w:tr>
      <w:tr w:rsidR="00555FE6" w:rsidRPr="00524254" w14:paraId="391D5ECC" w14:textId="50C298E4" w:rsidTr="0025418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016" w:type="dxa"/>
            <w:tcBorders>
              <w:left w:val="single" w:sz="12" w:space="0" w:color="8EAADB" w:themeColor="accent1" w:themeTint="99"/>
            </w:tcBorders>
            <w:vAlign w:val="center"/>
          </w:tcPr>
          <w:p w14:paraId="193E11FB" w14:textId="77777777" w:rsidR="00555FE6" w:rsidRPr="00524254" w:rsidRDefault="00555FE6" w:rsidP="00555FE6">
            <w:pPr>
              <w:pStyle w:val="TableText"/>
            </w:pPr>
            <w:r w:rsidRPr="00524254">
              <w:t>PV Cost</w:t>
            </w:r>
          </w:p>
        </w:tc>
        <w:tc>
          <w:tcPr>
            <w:tcW w:w="1253" w:type="dxa"/>
            <w:vAlign w:val="center"/>
          </w:tcPr>
          <w:p w14:paraId="7D448034" w14:textId="77777777" w:rsidR="00555FE6" w:rsidRPr="00254187" w:rsidRDefault="00555FE6" w:rsidP="00555FE6">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254187">
              <w:rPr>
                <w:b/>
                <w:bCs/>
              </w:rPr>
              <w:t>$593.8</w:t>
            </w:r>
          </w:p>
        </w:tc>
        <w:tc>
          <w:tcPr>
            <w:tcW w:w="1253" w:type="dxa"/>
            <w:tcBorders>
              <w:right w:val="single" w:sz="8" w:space="0" w:color="8EAADB" w:themeColor="accent1" w:themeTint="99"/>
            </w:tcBorders>
            <w:vAlign w:val="center"/>
          </w:tcPr>
          <w:p w14:paraId="47F749AB" w14:textId="77777777" w:rsidR="00555FE6" w:rsidRPr="00254187" w:rsidRDefault="00555FE6" w:rsidP="00555FE6">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254187">
              <w:rPr>
                <w:b/>
                <w:bCs/>
              </w:rPr>
              <w:t>$972.2</w:t>
            </w:r>
          </w:p>
        </w:tc>
        <w:tc>
          <w:tcPr>
            <w:tcW w:w="1253" w:type="dxa"/>
            <w:tcBorders>
              <w:top w:val="single" w:sz="8" w:space="0" w:color="8EAADB" w:themeColor="accent1" w:themeTint="99"/>
              <w:left w:val="single" w:sz="8" w:space="0" w:color="8EAADB" w:themeColor="accent1" w:themeTint="99"/>
              <w:bottom w:val="single" w:sz="8" w:space="0" w:color="8EAADB" w:themeColor="accent1" w:themeTint="99"/>
              <w:right w:val="single" w:sz="12" w:space="0" w:color="8EAADB" w:themeColor="accent1" w:themeTint="99"/>
            </w:tcBorders>
            <w:vAlign w:val="center"/>
          </w:tcPr>
          <w:p w14:paraId="74D20BD8" w14:textId="77777777" w:rsidR="00555FE6" w:rsidRPr="00254187" w:rsidRDefault="00555FE6" w:rsidP="00555FE6">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254187">
              <w:rPr>
                <w:b/>
                <w:bCs/>
              </w:rPr>
              <w:t>$1,171.0</w:t>
            </w:r>
          </w:p>
        </w:tc>
        <w:tc>
          <w:tcPr>
            <w:tcW w:w="1253" w:type="dxa"/>
            <w:tcBorders>
              <w:left w:val="single" w:sz="12" w:space="0" w:color="8EAADB" w:themeColor="accent1" w:themeTint="99"/>
            </w:tcBorders>
            <w:vAlign w:val="center"/>
          </w:tcPr>
          <w:p w14:paraId="083F8B65" w14:textId="7784F08A" w:rsidR="00555FE6" w:rsidRPr="00254187" w:rsidRDefault="00555FE6" w:rsidP="00555FE6">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254187">
              <w:rPr>
                <w:b/>
                <w:bCs/>
              </w:rPr>
              <w:t>$539.8</w:t>
            </w:r>
          </w:p>
        </w:tc>
        <w:tc>
          <w:tcPr>
            <w:tcW w:w="1253" w:type="dxa"/>
            <w:vAlign w:val="center"/>
          </w:tcPr>
          <w:p w14:paraId="059F215B" w14:textId="4E83B3DF" w:rsidR="00555FE6" w:rsidRPr="00254187" w:rsidRDefault="00555FE6" w:rsidP="00555FE6">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254187">
              <w:rPr>
                <w:b/>
                <w:bCs/>
              </w:rPr>
              <w:t>$917.4</w:t>
            </w:r>
          </w:p>
        </w:tc>
        <w:tc>
          <w:tcPr>
            <w:tcW w:w="1254" w:type="dxa"/>
            <w:tcBorders>
              <w:right w:val="single" w:sz="12" w:space="0" w:color="8EAADB" w:themeColor="accent1" w:themeTint="99"/>
            </w:tcBorders>
            <w:vAlign w:val="center"/>
          </w:tcPr>
          <w:p w14:paraId="5470388C" w14:textId="397D2DE0" w:rsidR="00555FE6" w:rsidRPr="00254187" w:rsidRDefault="00555FE6" w:rsidP="00555FE6">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254187">
              <w:rPr>
                <w:b/>
                <w:bCs/>
              </w:rPr>
              <w:t>$944.0</w:t>
            </w:r>
          </w:p>
        </w:tc>
      </w:tr>
      <w:tr w:rsidR="00555FE6" w:rsidRPr="00524254" w14:paraId="707D9792" w14:textId="7B4FC7EF" w:rsidTr="00254187">
        <w:trPr>
          <w:trHeight w:val="360"/>
        </w:trPr>
        <w:tc>
          <w:tcPr>
            <w:cnfStyle w:val="001000000000" w:firstRow="0" w:lastRow="0" w:firstColumn="1" w:lastColumn="0" w:oddVBand="0" w:evenVBand="0" w:oddHBand="0" w:evenHBand="0" w:firstRowFirstColumn="0" w:firstRowLastColumn="0" w:lastRowFirstColumn="0" w:lastRowLastColumn="0"/>
            <w:tcW w:w="2016" w:type="dxa"/>
            <w:tcBorders>
              <w:left w:val="single" w:sz="12" w:space="0" w:color="8EAADB" w:themeColor="accent1" w:themeTint="99"/>
            </w:tcBorders>
            <w:vAlign w:val="center"/>
          </w:tcPr>
          <w:p w14:paraId="36CA7F5E" w14:textId="77777777" w:rsidR="00555FE6" w:rsidRPr="00823AC0" w:rsidRDefault="00555FE6" w:rsidP="00555FE6">
            <w:pPr>
              <w:pStyle w:val="TableText"/>
              <w:rPr>
                <w:i/>
                <w:iCs/>
              </w:rPr>
            </w:pPr>
            <w:r w:rsidRPr="00823AC0">
              <w:rPr>
                <w:i/>
                <w:iCs/>
              </w:rPr>
              <w:t>Capital and Replacement Cost</w:t>
            </w:r>
          </w:p>
        </w:tc>
        <w:tc>
          <w:tcPr>
            <w:tcW w:w="1253" w:type="dxa"/>
            <w:vAlign w:val="center"/>
          </w:tcPr>
          <w:p w14:paraId="11850906" w14:textId="77777777" w:rsidR="00555FE6" w:rsidRPr="00524254" w:rsidRDefault="00555FE6" w:rsidP="00555FE6">
            <w:pPr>
              <w:pStyle w:val="TableText"/>
              <w:jc w:val="center"/>
              <w:cnfStyle w:val="000000000000" w:firstRow="0" w:lastRow="0" w:firstColumn="0" w:lastColumn="0" w:oddVBand="0" w:evenVBand="0" w:oddHBand="0" w:evenHBand="0" w:firstRowFirstColumn="0" w:firstRowLastColumn="0" w:lastRowFirstColumn="0" w:lastRowLastColumn="0"/>
            </w:pPr>
            <w:r w:rsidRPr="00524254">
              <w:rPr>
                <w:rFonts w:cs="Calibri"/>
                <w:i/>
                <w:iCs/>
                <w:color w:val="000000"/>
              </w:rPr>
              <w:t>$2</w:t>
            </w:r>
            <w:r>
              <w:rPr>
                <w:rFonts w:cs="Calibri"/>
                <w:i/>
                <w:iCs/>
                <w:color w:val="000000"/>
              </w:rPr>
              <w:t>46.2</w:t>
            </w:r>
          </w:p>
        </w:tc>
        <w:tc>
          <w:tcPr>
            <w:tcW w:w="1253" w:type="dxa"/>
            <w:tcBorders>
              <w:right w:val="single" w:sz="8" w:space="0" w:color="8EAADB" w:themeColor="accent1" w:themeTint="99"/>
            </w:tcBorders>
            <w:vAlign w:val="center"/>
          </w:tcPr>
          <w:p w14:paraId="37B7F6C8" w14:textId="77777777" w:rsidR="00555FE6" w:rsidRPr="00524254" w:rsidRDefault="00555FE6" w:rsidP="00555FE6">
            <w:pPr>
              <w:pStyle w:val="TableText"/>
              <w:jc w:val="center"/>
              <w:cnfStyle w:val="000000000000" w:firstRow="0" w:lastRow="0" w:firstColumn="0" w:lastColumn="0" w:oddVBand="0" w:evenVBand="0" w:oddHBand="0" w:evenHBand="0" w:firstRowFirstColumn="0" w:firstRowLastColumn="0" w:lastRowFirstColumn="0" w:lastRowLastColumn="0"/>
            </w:pPr>
            <w:r w:rsidRPr="00524254">
              <w:rPr>
                <w:i/>
                <w:iCs/>
              </w:rPr>
              <w:t>$</w:t>
            </w:r>
            <w:r>
              <w:rPr>
                <w:i/>
                <w:iCs/>
              </w:rPr>
              <w:t>441.2</w:t>
            </w:r>
          </w:p>
        </w:tc>
        <w:tc>
          <w:tcPr>
            <w:tcW w:w="1253" w:type="dxa"/>
            <w:tcBorders>
              <w:top w:val="single" w:sz="8" w:space="0" w:color="8EAADB" w:themeColor="accent1" w:themeTint="99"/>
              <w:left w:val="single" w:sz="8" w:space="0" w:color="8EAADB" w:themeColor="accent1" w:themeTint="99"/>
              <w:bottom w:val="single" w:sz="8" w:space="0" w:color="8EAADB" w:themeColor="accent1" w:themeTint="99"/>
              <w:right w:val="single" w:sz="12" w:space="0" w:color="8EAADB" w:themeColor="accent1" w:themeTint="99"/>
            </w:tcBorders>
            <w:vAlign w:val="center"/>
          </w:tcPr>
          <w:p w14:paraId="27833B10" w14:textId="77777777" w:rsidR="00555FE6" w:rsidRPr="00524254" w:rsidRDefault="00555FE6" w:rsidP="00555FE6">
            <w:pPr>
              <w:pStyle w:val="TableText"/>
              <w:jc w:val="center"/>
              <w:cnfStyle w:val="000000000000" w:firstRow="0" w:lastRow="0" w:firstColumn="0" w:lastColumn="0" w:oddVBand="0" w:evenVBand="0" w:oddHBand="0" w:evenHBand="0" w:firstRowFirstColumn="0" w:firstRowLastColumn="0" w:lastRowFirstColumn="0" w:lastRowLastColumn="0"/>
              <w:rPr>
                <w:i/>
                <w:iCs/>
              </w:rPr>
            </w:pPr>
            <w:r w:rsidRPr="00524254">
              <w:rPr>
                <w:i/>
                <w:iCs/>
              </w:rPr>
              <w:t>$</w:t>
            </w:r>
            <w:r>
              <w:rPr>
                <w:i/>
                <w:iCs/>
              </w:rPr>
              <w:t>589.2</w:t>
            </w:r>
          </w:p>
        </w:tc>
        <w:tc>
          <w:tcPr>
            <w:tcW w:w="1253" w:type="dxa"/>
            <w:vAlign w:val="center"/>
          </w:tcPr>
          <w:p w14:paraId="23B07220" w14:textId="78EE9CB1" w:rsidR="00555FE6" w:rsidRPr="00524254" w:rsidRDefault="00555FE6" w:rsidP="00555FE6">
            <w:pPr>
              <w:pStyle w:val="TableText"/>
              <w:jc w:val="center"/>
              <w:cnfStyle w:val="000000000000" w:firstRow="0" w:lastRow="0" w:firstColumn="0" w:lastColumn="0" w:oddVBand="0" w:evenVBand="0" w:oddHBand="0" w:evenHBand="0" w:firstRowFirstColumn="0" w:firstRowLastColumn="0" w:lastRowFirstColumn="0" w:lastRowLastColumn="0"/>
              <w:rPr>
                <w:i/>
                <w:iCs/>
              </w:rPr>
            </w:pPr>
            <w:r w:rsidRPr="00524254">
              <w:rPr>
                <w:rFonts w:cs="Calibri"/>
                <w:i/>
                <w:iCs/>
                <w:color w:val="000000"/>
              </w:rPr>
              <w:t>$2</w:t>
            </w:r>
            <w:r>
              <w:rPr>
                <w:rFonts w:cs="Calibri"/>
                <w:i/>
                <w:iCs/>
                <w:color w:val="000000"/>
              </w:rPr>
              <w:t>46.2</w:t>
            </w:r>
          </w:p>
        </w:tc>
        <w:tc>
          <w:tcPr>
            <w:tcW w:w="1253" w:type="dxa"/>
            <w:tcBorders>
              <w:right w:val="single" w:sz="8" w:space="0" w:color="8EAADB" w:themeColor="accent1" w:themeTint="99"/>
            </w:tcBorders>
            <w:vAlign w:val="center"/>
          </w:tcPr>
          <w:p w14:paraId="5A781EE9" w14:textId="0CB21A39" w:rsidR="00555FE6" w:rsidRPr="00524254" w:rsidRDefault="00555FE6" w:rsidP="00555FE6">
            <w:pPr>
              <w:pStyle w:val="TableText"/>
              <w:jc w:val="center"/>
              <w:cnfStyle w:val="000000000000" w:firstRow="0" w:lastRow="0" w:firstColumn="0" w:lastColumn="0" w:oddVBand="0" w:evenVBand="0" w:oddHBand="0" w:evenHBand="0" w:firstRowFirstColumn="0" w:firstRowLastColumn="0" w:lastRowFirstColumn="0" w:lastRowLastColumn="0"/>
              <w:rPr>
                <w:i/>
                <w:iCs/>
              </w:rPr>
            </w:pPr>
            <w:r w:rsidRPr="00524254">
              <w:rPr>
                <w:i/>
                <w:iCs/>
              </w:rPr>
              <w:t>$</w:t>
            </w:r>
            <w:r>
              <w:rPr>
                <w:i/>
                <w:iCs/>
              </w:rPr>
              <w:t>441.2</w:t>
            </w:r>
          </w:p>
        </w:tc>
        <w:tc>
          <w:tcPr>
            <w:tcW w:w="1254" w:type="dxa"/>
            <w:tcBorders>
              <w:top w:val="single" w:sz="8" w:space="0" w:color="8EAADB" w:themeColor="accent1" w:themeTint="99"/>
              <w:left w:val="single" w:sz="8" w:space="0" w:color="8EAADB" w:themeColor="accent1" w:themeTint="99"/>
              <w:bottom w:val="single" w:sz="8" w:space="0" w:color="8EAADB" w:themeColor="accent1" w:themeTint="99"/>
              <w:right w:val="single" w:sz="12" w:space="0" w:color="8EAADB" w:themeColor="accent1" w:themeTint="99"/>
            </w:tcBorders>
            <w:vAlign w:val="center"/>
          </w:tcPr>
          <w:p w14:paraId="3EB61DC0" w14:textId="5BA019C6" w:rsidR="00555FE6" w:rsidRPr="00524254" w:rsidRDefault="00555FE6" w:rsidP="00555FE6">
            <w:pPr>
              <w:pStyle w:val="TableText"/>
              <w:jc w:val="center"/>
              <w:cnfStyle w:val="000000000000" w:firstRow="0" w:lastRow="0" w:firstColumn="0" w:lastColumn="0" w:oddVBand="0" w:evenVBand="0" w:oddHBand="0" w:evenHBand="0" w:firstRowFirstColumn="0" w:firstRowLastColumn="0" w:lastRowFirstColumn="0" w:lastRowLastColumn="0"/>
              <w:rPr>
                <w:i/>
                <w:iCs/>
              </w:rPr>
            </w:pPr>
            <w:r w:rsidRPr="00524254">
              <w:rPr>
                <w:i/>
                <w:iCs/>
              </w:rPr>
              <w:t>$</w:t>
            </w:r>
            <w:r w:rsidR="00254187">
              <w:rPr>
                <w:i/>
                <w:iCs/>
              </w:rPr>
              <w:t>419.8</w:t>
            </w:r>
          </w:p>
        </w:tc>
      </w:tr>
      <w:tr w:rsidR="00555FE6" w:rsidRPr="00524254" w14:paraId="560B6AD5" w14:textId="6BCE4854" w:rsidTr="0025418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016" w:type="dxa"/>
            <w:tcBorders>
              <w:left w:val="single" w:sz="12" w:space="0" w:color="8EAADB" w:themeColor="accent1" w:themeTint="99"/>
            </w:tcBorders>
            <w:vAlign w:val="center"/>
          </w:tcPr>
          <w:p w14:paraId="1D2CB62D" w14:textId="77777777" w:rsidR="00555FE6" w:rsidRPr="00823AC0" w:rsidRDefault="00555FE6" w:rsidP="00555FE6">
            <w:pPr>
              <w:pStyle w:val="TableText"/>
              <w:rPr>
                <w:b w:val="0"/>
                <w:bCs w:val="0"/>
              </w:rPr>
            </w:pPr>
            <w:r w:rsidRPr="00FE6A8E">
              <w:t>- Loan Payment</w:t>
            </w:r>
          </w:p>
        </w:tc>
        <w:tc>
          <w:tcPr>
            <w:tcW w:w="1253" w:type="dxa"/>
            <w:vAlign w:val="center"/>
          </w:tcPr>
          <w:p w14:paraId="575592D2" w14:textId="77777777" w:rsidR="00555FE6" w:rsidRPr="00524254" w:rsidRDefault="00555FE6" w:rsidP="00555FE6">
            <w:pPr>
              <w:pStyle w:val="TableText"/>
              <w:jc w:val="center"/>
              <w:cnfStyle w:val="000000100000" w:firstRow="0" w:lastRow="0" w:firstColumn="0" w:lastColumn="0" w:oddVBand="0" w:evenVBand="0" w:oddHBand="1" w:evenHBand="0" w:firstRowFirstColumn="0" w:firstRowLastColumn="0" w:lastRowFirstColumn="0" w:lastRowLastColumn="0"/>
            </w:pPr>
            <w:r w:rsidRPr="00524254">
              <w:rPr>
                <w:rFonts w:cs="Calibri"/>
                <w:color w:val="000000"/>
              </w:rPr>
              <w:t>$</w:t>
            </w:r>
            <w:r>
              <w:rPr>
                <w:rFonts w:cs="Calibri"/>
                <w:color w:val="000000"/>
              </w:rPr>
              <w:t>191.6</w:t>
            </w:r>
          </w:p>
        </w:tc>
        <w:tc>
          <w:tcPr>
            <w:tcW w:w="1253" w:type="dxa"/>
            <w:tcBorders>
              <w:right w:val="single" w:sz="8" w:space="0" w:color="8EAADB" w:themeColor="accent1" w:themeTint="99"/>
            </w:tcBorders>
            <w:vAlign w:val="center"/>
          </w:tcPr>
          <w:p w14:paraId="08EE5E28" w14:textId="77777777" w:rsidR="00555FE6" w:rsidRPr="00524254" w:rsidRDefault="00555FE6" w:rsidP="00555FE6">
            <w:pPr>
              <w:pStyle w:val="TableText"/>
              <w:jc w:val="center"/>
              <w:cnfStyle w:val="000000100000" w:firstRow="0" w:lastRow="0" w:firstColumn="0" w:lastColumn="0" w:oddVBand="0" w:evenVBand="0" w:oddHBand="1" w:evenHBand="0" w:firstRowFirstColumn="0" w:firstRowLastColumn="0" w:lastRowFirstColumn="0" w:lastRowLastColumn="0"/>
            </w:pPr>
            <w:r w:rsidRPr="00524254">
              <w:t>$</w:t>
            </w:r>
            <w:r>
              <w:t>349.8</w:t>
            </w:r>
          </w:p>
        </w:tc>
        <w:tc>
          <w:tcPr>
            <w:tcW w:w="1253" w:type="dxa"/>
            <w:tcBorders>
              <w:top w:val="single" w:sz="8" w:space="0" w:color="8EAADB" w:themeColor="accent1" w:themeTint="99"/>
              <w:left w:val="single" w:sz="8" w:space="0" w:color="8EAADB" w:themeColor="accent1" w:themeTint="99"/>
              <w:bottom w:val="single" w:sz="8" w:space="0" w:color="8EAADB" w:themeColor="accent1" w:themeTint="99"/>
              <w:right w:val="single" w:sz="12" w:space="0" w:color="8EAADB" w:themeColor="accent1" w:themeTint="99"/>
            </w:tcBorders>
            <w:vAlign w:val="center"/>
          </w:tcPr>
          <w:p w14:paraId="3B9ECC2B" w14:textId="77777777" w:rsidR="00555FE6" w:rsidRPr="00524254" w:rsidRDefault="00555FE6" w:rsidP="00555FE6">
            <w:pPr>
              <w:pStyle w:val="TableText"/>
              <w:jc w:val="center"/>
              <w:cnfStyle w:val="000000100000" w:firstRow="0" w:lastRow="0" w:firstColumn="0" w:lastColumn="0" w:oddVBand="0" w:evenVBand="0" w:oddHBand="1" w:evenHBand="0" w:firstRowFirstColumn="0" w:firstRowLastColumn="0" w:lastRowFirstColumn="0" w:lastRowLastColumn="0"/>
            </w:pPr>
            <w:r w:rsidRPr="00524254">
              <w:t>$</w:t>
            </w:r>
            <w:r>
              <w:t>469.0</w:t>
            </w:r>
          </w:p>
        </w:tc>
        <w:tc>
          <w:tcPr>
            <w:tcW w:w="1253" w:type="dxa"/>
            <w:vAlign w:val="center"/>
          </w:tcPr>
          <w:p w14:paraId="2B4D5517" w14:textId="74FE3C64" w:rsidR="00555FE6" w:rsidRPr="00524254" w:rsidRDefault="00555FE6" w:rsidP="00555FE6">
            <w:pPr>
              <w:pStyle w:val="TableText"/>
              <w:jc w:val="center"/>
              <w:cnfStyle w:val="000000100000" w:firstRow="0" w:lastRow="0" w:firstColumn="0" w:lastColumn="0" w:oddVBand="0" w:evenVBand="0" w:oddHBand="1" w:evenHBand="0" w:firstRowFirstColumn="0" w:firstRowLastColumn="0" w:lastRowFirstColumn="0" w:lastRowLastColumn="0"/>
            </w:pPr>
            <w:r w:rsidRPr="00524254">
              <w:rPr>
                <w:rFonts w:cs="Calibri"/>
                <w:color w:val="000000"/>
              </w:rPr>
              <w:t>$</w:t>
            </w:r>
            <w:r>
              <w:rPr>
                <w:rFonts w:cs="Calibri"/>
                <w:color w:val="000000"/>
              </w:rPr>
              <w:t>191.6</w:t>
            </w:r>
          </w:p>
        </w:tc>
        <w:tc>
          <w:tcPr>
            <w:tcW w:w="1253" w:type="dxa"/>
            <w:tcBorders>
              <w:right w:val="single" w:sz="8" w:space="0" w:color="8EAADB" w:themeColor="accent1" w:themeTint="99"/>
            </w:tcBorders>
            <w:vAlign w:val="center"/>
          </w:tcPr>
          <w:p w14:paraId="50D5A719" w14:textId="27A4AEE9" w:rsidR="00555FE6" w:rsidRPr="00524254" w:rsidRDefault="00555FE6" w:rsidP="00555FE6">
            <w:pPr>
              <w:pStyle w:val="TableText"/>
              <w:jc w:val="center"/>
              <w:cnfStyle w:val="000000100000" w:firstRow="0" w:lastRow="0" w:firstColumn="0" w:lastColumn="0" w:oddVBand="0" w:evenVBand="0" w:oddHBand="1" w:evenHBand="0" w:firstRowFirstColumn="0" w:firstRowLastColumn="0" w:lastRowFirstColumn="0" w:lastRowLastColumn="0"/>
            </w:pPr>
            <w:r w:rsidRPr="00524254">
              <w:t>$</w:t>
            </w:r>
            <w:r>
              <w:t>349.8</w:t>
            </w:r>
          </w:p>
        </w:tc>
        <w:tc>
          <w:tcPr>
            <w:tcW w:w="1254" w:type="dxa"/>
            <w:tcBorders>
              <w:top w:val="single" w:sz="8" w:space="0" w:color="8EAADB" w:themeColor="accent1" w:themeTint="99"/>
              <w:left w:val="single" w:sz="8" w:space="0" w:color="8EAADB" w:themeColor="accent1" w:themeTint="99"/>
              <w:bottom w:val="single" w:sz="8" w:space="0" w:color="8EAADB" w:themeColor="accent1" w:themeTint="99"/>
              <w:right w:val="single" w:sz="12" w:space="0" w:color="8EAADB" w:themeColor="accent1" w:themeTint="99"/>
            </w:tcBorders>
            <w:vAlign w:val="center"/>
          </w:tcPr>
          <w:p w14:paraId="63B9BB1F" w14:textId="281E0618" w:rsidR="00555FE6" w:rsidRPr="00524254" w:rsidRDefault="00555FE6" w:rsidP="00555FE6">
            <w:pPr>
              <w:pStyle w:val="TableText"/>
              <w:jc w:val="center"/>
              <w:cnfStyle w:val="000000100000" w:firstRow="0" w:lastRow="0" w:firstColumn="0" w:lastColumn="0" w:oddVBand="0" w:evenVBand="0" w:oddHBand="1" w:evenHBand="0" w:firstRowFirstColumn="0" w:firstRowLastColumn="0" w:lastRowFirstColumn="0" w:lastRowLastColumn="0"/>
            </w:pPr>
            <w:r w:rsidRPr="00524254">
              <w:t>$</w:t>
            </w:r>
            <w:r w:rsidR="00254187">
              <w:t>299.6</w:t>
            </w:r>
          </w:p>
        </w:tc>
      </w:tr>
      <w:tr w:rsidR="00555FE6" w:rsidRPr="00524254" w14:paraId="68132809" w14:textId="076D155B" w:rsidTr="00254187">
        <w:trPr>
          <w:trHeight w:val="360"/>
        </w:trPr>
        <w:tc>
          <w:tcPr>
            <w:cnfStyle w:val="001000000000" w:firstRow="0" w:lastRow="0" w:firstColumn="1" w:lastColumn="0" w:oddVBand="0" w:evenVBand="0" w:oddHBand="0" w:evenHBand="0" w:firstRowFirstColumn="0" w:firstRowLastColumn="0" w:lastRowFirstColumn="0" w:lastRowLastColumn="0"/>
            <w:tcW w:w="2016" w:type="dxa"/>
            <w:tcBorders>
              <w:left w:val="single" w:sz="12" w:space="0" w:color="8EAADB" w:themeColor="accent1" w:themeTint="99"/>
            </w:tcBorders>
            <w:vAlign w:val="center"/>
          </w:tcPr>
          <w:p w14:paraId="0F0E45B9" w14:textId="77777777" w:rsidR="00555FE6" w:rsidRPr="00823AC0" w:rsidRDefault="00555FE6" w:rsidP="00555FE6">
            <w:pPr>
              <w:pStyle w:val="TableText"/>
              <w:rPr>
                <w:b w:val="0"/>
                <w:bCs w:val="0"/>
              </w:rPr>
            </w:pPr>
            <w:r w:rsidRPr="00FE6A8E">
              <w:t>- Replacement Cost</w:t>
            </w:r>
          </w:p>
        </w:tc>
        <w:tc>
          <w:tcPr>
            <w:tcW w:w="1253" w:type="dxa"/>
            <w:vAlign w:val="center"/>
          </w:tcPr>
          <w:p w14:paraId="3195839A" w14:textId="77777777" w:rsidR="00555FE6" w:rsidRPr="00524254" w:rsidRDefault="00555FE6" w:rsidP="00555FE6">
            <w:pPr>
              <w:pStyle w:val="TableText"/>
              <w:jc w:val="center"/>
              <w:cnfStyle w:val="000000000000" w:firstRow="0" w:lastRow="0" w:firstColumn="0" w:lastColumn="0" w:oddVBand="0" w:evenVBand="0" w:oddHBand="0" w:evenHBand="0" w:firstRowFirstColumn="0" w:firstRowLastColumn="0" w:lastRowFirstColumn="0" w:lastRowLastColumn="0"/>
            </w:pPr>
            <w:r w:rsidRPr="00524254">
              <w:rPr>
                <w:rFonts w:cs="Calibri"/>
                <w:color w:val="000000"/>
              </w:rPr>
              <w:t>$</w:t>
            </w:r>
            <w:r>
              <w:rPr>
                <w:rFonts w:cs="Calibri"/>
                <w:color w:val="000000"/>
              </w:rPr>
              <w:t>54.6</w:t>
            </w:r>
          </w:p>
        </w:tc>
        <w:tc>
          <w:tcPr>
            <w:tcW w:w="1253" w:type="dxa"/>
            <w:tcBorders>
              <w:right w:val="single" w:sz="8" w:space="0" w:color="8EAADB" w:themeColor="accent1" w:themeTint="99"/>
            </w:tcBorders>
            <w:vAlign w:val="center"/>
          </w:tcPr>
          <w:p w14:paraId="4FE68A07" w14:textId="77777777" w:rsidR="00555FE6" w:rsidRPr="00524254" w:rsidRDefault="00555FE6" w:rsidP="00555FE6">
            <w:pPr>
              <w:pStyle w:val="TableText"/>
              <w:jc w:val="center"/>
              <w:cnfStyle w:val="000000000000" w:firstRow="0" w:lastRow="0" w:firstColumn="0" w:lastColumn="0" w:oddVBand="0" w:evenVBand="0" w:oddHBand="0" w:evenHBand="0" w:firstRowFirstColumn="0" w:firstRowLastColumn="0" w:lastRowFirstColumn="0" w:lastRowLastColumn="0"/>
            </w:pPr>
            <w:r w:rsidRPr="00524254">
              <w:t>$</w:t>
            </w:r>
            <w:r>
              <w:t>91.4</w:t>
            </w:r>
          </w:p>
        </w:tc>
        <w:tc>
          <w:tcPr>
            <w:tcW w:w="1253" w:type="dxa"/>
            <w:tcBorders>
              <w:top w:val="single" w:sz="8" w:space="0" w:color="8EAADB" w:themeColor="accent1" w:themeTint="99"/>
              <w:left w:val="single" w:sz="8" w:space="0" w:color="8EAADB" w:themeColor="accent1" w:themeTint="99"/>
              <w:bottom w:val="single" w:sz="8" w:space="0" w:color="8EAADB" w:themeColor="accent1" w:themeTint="99"/>
              <w:right w:val="single" w:sz="12" w:space="0" w:color="8EAADB" w:themeColor="accent1" w:themeTint="99"/>
            </w:tcBorders>
            <w:vAlign w:val="center"/>
          </w:tcPr>
          <w:p w14:paraId="5A4A1BA3" w14:textId="77777777" w:rsidR="00555FE6" w:rsidRPr="00524254" w:rsidRDefault="00555FE6" w:rsidP="00555FE6">
            <w:pPr>
              <w:pStyle w:val="TableText"/>
              <w:jc w:val="center"/>
              <w:cnfStyle w:val="000000000000" w:firstRow="0" w:lastRow="0" w:firstColumn="0" w:lastColumn="0" w:oddVBand="0" w:evenVBand="0" w:oddHBand="0" w:evenHBand="0" w:firstRowFirstColumn="0" w:firstRowLastColumn="0" w:lastRowFirstColumn="0" w:lastRowLastColumn="0"/>
            </w:pPr>
            <w:r w:rsidRPr="00524254">
              <w:t>$1</w:t>
            </w:r>
            <w:r>
              <w:t>20.2</w:t>
            </w:r>
          </w:p>
        </w:tc>
        <w:tc>
          <w:tcPr>
            <w:tcW w:w="1253" w:type="dxa"/>
            <w:vAlign w:val="center"/>
          </w:tcPr>
          <w:p w14:paraId="1A3389EE" w14:textId="585FBF8A" w:rsidR="00555FE6" w:rsidRPr="00524254" w:rsidRDefault="00555FE6" w:rsidP="00555FE6">
            <w:pPr>
              <w:pStyle w:val="TableText"/>
              <w:jc w:val="center"/>
              <w:cnfStyle w:val="000000000000" w:firstRow="0" w:lastRow="0" w:firstColumn="0" w:lastColumn="0" w:oddVBand="0" w:evenVBand="0" w:oddHBand="0" w:evenHBand="0" w:firstRowFirstColumn="0" w:firstRowLastColumn="0" w:lastRowFirstColumn="0" w:lastRowLastColumn="0"/>
            </w:pPr>
            <w:r w:rsidRPr="00524254">
              <w:rPr>
                <w:rFonts w:cs="Calibri"/>
                <w:color w:val="000000"/>
              </w:rPr>
              <w:t>$</w:t>
            </w:r>
            <w:r>
              <w:rPr>
                <w:rFonts w:cs="Calibri"/>
                <w:color w:val="000000"/>
              </w:rPr>
              <w:t>54.6</w:t>
            </w:r>
          </w:p>
        </w:tc>
        <w:tc>
          <w:tcPr>
            <w:tcW w:w="1253" w:type="dxa"/>
            <w:tcBorders>
              <w:right w:val="single" w:sz="8" w:space="0" w:color="8EAADB" w:themeColor="accent1" w:themeTint="99"/>
            </w:tcBorders>
            <w:vAlign w:val="center"/>
          </w:tcPr>
          <w:p w14:paraId="32A6B4F6" w14:textId="73D6EEF1" w:rsidR="00555FE6" w:rsidRPr="00524254" w:rsidRDefault="00555FE6" w:rsidP="00555FE6">
            <w:pPr>
              <w:pStyle w:val="TableText"/>
              <w:jc w:val="center"/>
              <w:cnfStyle w:val="000000000000" w:firstRow="0" w:lastRow="0" w:firstColumn="0" w:lastColumn="0" w:oddVBand="0" w:evenVBand="0" w:oddHBand="0" w:evenHBand="0" w:firstRowFirstColumn="0" w:firstRowLastColumn="0" w:lastRowFirstColumn="0" w:lastRowLastColumn="0"/>
            </w:pPr>
            <w:r w:rsidRPr="00524254">
              <w:t>$</w:t>
            </w:r>
            <w:r>
              <w:t>91.4</w:t>
            </w:r>
          </w:p>
        </w:tc>
        <w:tc>
          <w:tcPr>
            <w:tcW w:w="1254" w:type="dxa"/>
            <w:tcBorders>
              <w:top w:val="single" w:sz="8" w:space="0" w:color="8EAADB" w:themeColor="accent1" w:themeTint="99"/>
              <w:left w:val="single" w:sz="8" w:space="0" w:color="8EAADB" w:themeColor="accent1" w:themeTint="99"/>
              <w:bottom w:val="single" w:sz="8" w:space="0" w:color="8EAADB" w:themeColor="accent1" w:themeTint="99"/>
              <w:right w:val="single" w:sz="12" w:space="0" w:color="8EAADB" w:themeColor="accent1" w:themeTint="99"/>
            </w:tcBorders>
            <w:vAlign w:val="center"/>
          </w:tcPr>
          <w:p w14:paraId="7ED8F97B" w14:textId="617AF6C4" w:rsidR="00555FE6" w:rsidRPr="00524254" w:rsidRDefault="00555FE6" w:rsidP="00555FE6">
            <w:pPr>
              <w:pStyle w:val="TableText"/>
              <w:jc w:val="center"/>
              <w:cnfStyle w:val="000000000000" w:firstRow="0" w:lastRow="0" w:firstColumn="0" w:lastColumn="0" w:oddVBand="0" w:evenVBand="0" w:oddHBand="0" w:evenHBand="0" w:firstRowFirstColumn="0" w:firstRowLastColumn="0" w:lastRowFirstColumn="0" w:lastRowLastColumn="0"/>
            </w:pPr>
            <w:r w:rsidRPr="00524254">
              <w:t>$</w:t>
            </w:r>
            <w:r w:rsidR="00254187">
              <w:t>120.2</w:t>
            </w:r>
          </w:p>
        </w:tc>
      </w:tr>
      <w:tr w:rsidR="00555FE6" w:rsidRPr="00524254" w14:paraId="269C6183" w14:textId="19783E8D" w:rsidTr="0025418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016" w:type="dxa"/>
            <w:tcBorders>
              <w:left w:val="single" w:sz="12" w:space="0" w:color="8EAADB" w:themeColor="accent1" w:themeTint="99"/>
            </w:tcBorders>
            <w:vAlign w:val="center"/>
          </w:tcPr>
          <w:p w14:paraId="41F3C9B8" w14:textId="77777777" w:rsidR="00555FE6" w:rsidRPr="00823AC0" w:rsidRDefault="00555FE6" w:rsidP="00555FE6">
            <w:pPr>
              <w:pStyle w:val="TableText"/>
              <w:rPr>
                <w:i/>
                <w:iCs/>
              </w:rPr>
            </w:pPr>
            <w:r w:rsidRPr="00823AC0">
              <w:rPr>
                <w:i/>
                <w:iCs/>
              </w:rPr>
              <w:t>PV of Annual Costs</w:t>
            </w:r>
          </w:p>
        </w:tc>
        <w:tc>
          <w:tcPr>
            <w:tcW w:w="1253" w:type="dxa"/>
            <w:vAlign w:val="center"/>
          </w:tcPr>
          <w:p w14:paraId="408E79A0" w14:textId="77777777" w:rsidR="00555FE6" w:rsidRPr="00524254" w:rsidRDefault="00555FE6" w:rsidP="00555FE6">
            <w:pPr>
              <w:pStyle w:val="TableText"/>
              <w:jc w:val="center"/>
              <w:cnfStyle w:val="000000100000" w:firstRow="0" w:lastRow="0" w:firstColumn="0" w:lastColumn="0" w:oddVBand="0" w:evenVBand="0" w:oddHBand="1" w:evenHBand="0" w:firstRowFirstColumn="0" w:firstRowLastColumn="0" w:lastRowFirstColumn="0" w:lastRowLastColumn="0"/>
            </w:pPr>
            <w:r w:rsidRPr="00524254">
              <w:rPr>
                <w:rFonts w:cs="Calibri"/>
                <w:i/>
                <w:iCs/>
                <w:color w:val="000000"/>
              </w:rPr>
              <w:t>$</w:t>
            </w:r>
            <w:r>
              <w:rPr>
                <w:rFonts w:cs="Calibri"/>
                <w:i/>
                <w:iCs/>
                <w:color w:val="000000"/>
              </w:rPr>
              <w:t>196.4</w:t>
            </w:r>
          </w:p>
        </w:tc>
        <w:tc>
          <w:tcPr>
            <w:tcW w:w="1253" w:type="dxa"/>
            <w:tcBorders>
              <w:right w:val="single" w:sz="8" w:space="0" w:color="8EAADB" w:themeColor="accent1" w:themeTint="99"/>
            </w:tcBorders>
            <w:vAlign w:val="center"/>
          </w:tcPr>
          <w:p w14:paraId="34DCCA8A" w14:textId="77777777" w:rsidR="00555FE6" w:rsidRPr="00524254" w:rsidRDefault="00555FE6" w:rsidP="00555FE6">
            <w:pPr>
              <w:pStyle w:val="TableText"/>
              <w:jc w:val="center"/>
              <w:cnfStyle w:val="000000100000" w:firstRow="0" w:lastRow="0" w:firstColumn="0" w:lastColumn="0" w:oddVBand="0" w:evenVBand="0" w:oddHBand="1" w:evenHBand="0" w:firstRowFirstColumn="0" w:firstRowLastColumn="0" w:lastRowFirstColumn="0" w:lastRowLastColumn="0"/>
            </w:pPr>
            <w:r w:rsidRPr="00524254">
              <w:rPr>
                <w:i/>
                <w:iCs/>
              </w:rPr>
              <w:t>$</w:t>
            </w:r>
            <w:r>
              <w:rPr>
                <w:i/>
                <w:iCs/>
              </w:rPr>
              <w:t>351.8</w:t>
            </w:r>
          </w:p>
        </w:tc>
        <w:tc>
          <w:tcPr>
            <w:tcW w:w="1253" w:type="dxa"/>
            <w:tcBorders>
              <w:top w:val="single" w:sz="8" w:space="0" w:color="8EAADB" w:themeColor="accent1" w:themeTint="99"/>
              <w:left w:val="single" w:sz="8" w:space="0" w:color="8EAADB" w:themeColor="accent1" w:themeTint="99"/>
              <w:bottom w:val="single" w:sz="8" w:space="0" w:color="8EAADB" w:themeColor="accent1" w:themeTint="99"/>
              <w:right w:val="single" w:sz="12" w:space="0" w:color="8EAADB" w:themeColor="accent1" w:themeTint="99"/>
            </w:tcBorders>
            <w:vAlign w:val="center"/>
          </w:tcPr>
          <w:p w14:paraId="1552DAB0" w14:textId="77777777" w:rsidR="00555FE6" w:rsidRPr="00524254" w:rsidRDefault="00555FE6" w:rsidP="00555FE6">
            <w:pPr>
              <w:pStyle w:val="TableText"/>
              <w:jc w:val="center"/>
              <w:cnfStyle w:val="000000100000" w:firstRow="0" w:lastRow="0" w:firstColumn="0" w:lastColumn="0" w:oddVBand="0" w:evenVBand="0" w:oddHBand="1" w:evenHBand="0" w:firstRowFirstColumn="0" w:firstRowLastColumn="0" w:lastRowFirstColumn="0" w:lastRowLastColumn="0"/>
              <w:rPr>
                <w:i/>
                <w:iCs/>
              </w:rPr>
            </w:pPr>
            <w:r w:rsidRPr="00524254">
              <w:rPr>
                <w:i/>
                <w:iCs/>
              </w:rPr>
              <w:t>$</w:t>
            </w:r>
            <w:r>
              <w:rPr>
                <w:i/>
                <w:iCs/>
              </w:rPr>
              <w:t>393.5</w:t>
            </w:r>
          </w:p>
        </w:tc>
        <w:tc>
          <w:tcPr>
            <w:tcW w:w="1253" w:type="dxa"/>
            <w:vAlign w:val="center"/>
          </w:tcPr>
          <w:p w14:paraId="347B2454" w14:textId="6C43EAAB" w:rsidR="00555FE6" w:rsidRPr="00524254" w:rsidRDefault="00555FE6" w:rsidP="00555FE6">
            <w:pPr>
              <w:pStyle w:val="TableText"/>
              <w:jc w:val="center"/>
              <w:cnfStyle w:val="000000100000" w:firstRow="0" w:lastRow="0" w:firstColumn="0" w:lastColumn="0" w:oddVBand="0" w:evenVBand="0" w:oddHBand="1" w:evenHBand="0" w:firstRowFirstColumn="0" w:firstRowLastColumn="0" w:lastRowFirstColumn="0" w:lastRowLastColumn="0"/>
              <w:rPr>
                <w:i/>
                <w:iCs/>
              </w:rPr>
            </w:pPr>
            <w:r w:rsidRPr="00524254">
              <w:rPr>
                <w:rFonts w:cs="Calibri"/>
                <w:i/>
                <w:iCs/>
                <w:color w:val="000000"/>
              </w:rPr>
              <w:t>$</w:t>
            </w:r>
            <w:r>
              <w:rPr>
                <w:rFonts w:cs="Calibri"/>
                <w:i/>
                <w:iCs/>
                <w:color w:val="000000"/>
              </w:rPr>
              <w:t>196.4</w:t>
            </w:r>
          </w:p>
        </w:tc>
        <w:tc>
          <w:tcPr>
            <w:tcW w:w="1253" w:type="dxa"/>
            <w:tcBorders>
              <w:right w:val="single" w:sz="8" w:space="0" w:color="8EAADB" w:themeColor="accent1" w:themeTint="99"/>
            </w:tcBorders>
            <w:vAlign w:val="center"/>
          </w:tcPr>
          <w:p w14:paraId="7AD3F150" w14:textId="17998CA3" w:rsidR="00555FE6" w:rsidRPr="00524254" w:rsidRDefault="00555FE6" w:rsidP="00555FE6">
            <w:pPr>
              <w:pStyle w:val="TableText"/>
              <w:jc w:val="center"/>
              <w:cnfStyle w:val="000000100000" w:firstRow="0" w:lastRow="0" w:firstColumn="0" w:lastColumn="0" w:oddVBand="0" w:evenVBand="0" w:oddHBand="1" w:evenHBand="0" w:firstRowFirstColumn="0" w:firstRowLastColumn="0" w:lastRowFirstColumn="0" w:lastRowLastColumn="0"/>
              <w:rPr>
                <w:i/>
                <w:iCs/>
              </w:rPr>
            </w:pPr>
            <w:r w:rsidRPr="00524254">
              <w:rPr>
                <w:i/>
                <w:iCs/>
              </w:rPr>
              <w:t>$</w:t>
            </w:r>
            <w:r>
              <w:rPr>
                <w:i/>
                <w:iCs/>
              </w:rPr>
              <w:t>351.8</w:t>
            </w:r>
          </w:p>
        </w:tc>
        <w:tc>
          <w:tcPr>
            <w:tcW w:w="1254" w:type="dxa"/>
            <w:tcBorders>
              <w:top w:val="single" w:sz="8" w:space="0" w:color="8EAADB" w:themeColor="accent1" w:themeTint="99"/>
              <w:left w:val="single" w:sz="8" w:space="0" w:color="8EAADB" w:themeColor="accent1" w:themeTint="99"/>
              <w:bottom w:val="single" w:sz="8" w:space="0" w:color="8EAADB" w:themeColor="accent1" w:themeTint="99"/>
              <w:right w:val="single" w:sz="12" w:space="0" w:color="8EAADB" w:themeColor="accent1" w:themeTint="99"/>
            </w:tcBorders>
            <w:vAlign w:val="center"/>
          </w:tcPr>
          <w:p w14:paraId="35046424" w14:textId="6B7E2836" w:rsidR="00555FE6" w:rsidRPr="00524254" w:rsidRDefault="00555FE6" w:rsidP="00555FE6">
            <w:pPr>
              <w:pStyle w:val="TableText"/>
              <w:jc w:val="center"/>
              <w:cnfStyle w:val="000000100000" w:firstRow="0" w:lastRow="0" w:firstColumn="0" w:lastColumn="0" w:oddVBand="0" w:evenVBand="0" w:oddHBand="1" w:evenHBand="0" w:firstRowFirstColumn="0" w:firstRowLastColumn="0" w:lastRowFirstColumn="0" w:lastRowLastColumn="0"/>
              <w:rPr>
                <w:i/>
                <w:iCs/>
              </w:rPr>
            </w:pPr>
            <w:r w:rsidRPr="00524254">
              <w:rPr>
                <w:i/>
                <w:iCs/>
              </w:rPr>
              <w:t>$</w:t>
            </w:r>
            <w:r>
              <w:rPr>
                <w:i/>
                <w:iCs/>
              </w:rPr>
              <w:t>393.5</w:t>
            </w:r>
          </w:p>
        </w:tc>
      </w:tr>
      <w:tr w:rsidR="00555FE6" w:rsidRPr="00524254" w14:paraId="04DCF1ED" w14:textId="0B3752A6" w:rsidTr="00254187">
        <w:trPr>
          <w:trHeight w:val="360"/>
        </w:trPr>
        <w:tc>
          <w:tcPr>
            <w:cnfStyle w:val="001000000000" w:firstRow="0" w:lastRow="0" w:firstColumn="1" w:lastColumn="0" w:oddVBand="0" w:evenVBand="0" w:oddHBand="0" w:evenHBand="0" w:firstRowFirstColumn="0" w:firstRowLastColumn="0" w:lastRowFirstColumn="0" w:lastRowLastColumn="0"/>
            <w:tcW w:w="2016" w:type="dxa"/>
            <w:tcBorders>
              <w:left w:val="single" w:sz="12" w:space="0" w:color="8EAADB" w:themeColor="accent1" w:themeTint="99"/>
            </w:tcBorders>
            <w:vAlign w:val="center"/>
          </w:tcPr>
          <w:p w14:paraId="5855B4AE" w14:textId="77777777" w:rsidR="00555FE6" w:rsidRPr="00823AC0" w:rsidRDefault="00555FE6" w:rsidP="00555FE6">
            <w:pPr>
              <w:pStyle w:val="TableText"/>
              <w:rPr>
                <w:b w:val="0"/>
                <w:bCs w:val="0"/>
              </w:rPr>
            </w:pPr>
            <w:r w:rsidRPr="00FE6A8E">
              <w:t>- O&amp;M Cost</w:t>
            </w:r>
          </w:p>
        </w:tc>
        <w:tc>
          <w:tcPr>
            <w:tcW w:w="1253" w:type="dxa"/>
            <w:vAlign w:val="center"/>
          </w:tcPr>
          <w:p w14:paraId="6B016C19" w14:textId="77777777" w:rsidR="00555FE6" w:rsidRPr="00524254" w:rsidRDefault="00555FE6" w:rsidP="00555FE6">
            <w:pPr>
              <w:pStyle w:val="TableText"/>
              <w:jc w:val="center"/>
              <w:cnfStyle w:val="000000000000" w:firstRow="0" w:lastRow="0" w:firstColumn="0" w:lastColumn="0" w:oddVBand="0" w:evenVBand="0" w:oddHBand="0" w:evenHBand="0" w:firstRowFirstColumn="0" w:firstRowLastColumn="0" w:lastRowFirstColumn="0" w:lastRowLastColumn="0"/>
            </w:pPr>
            <w:r w:rsidRPr="00524254">
              <w:rPr>
                <w:rFonts w:cs="Calibri"/>
                <w:color w:val="000000"/>
              </w:rPr>
              <w:t>$</w:t>
            </w:r>
            <w:r>
              <w:rPr>
                <w:rFonts w:cs="Calibri"/>
                <w:color w:val="000000"/>
              </w:rPr>
              <w:t>171.1</w:t>
            </w:r>
          </w:p>
        </w:tc>
        <w:tc>
          <w:tcPr>
            <w:tcW w:w="1253" w:type="dxa"/>
            <w:tcBorders>
              <w:right w:val="single" w:sz="8" w:space="0" w:color="8EAADB" w:themeColor="accent1" w:themeTint="99"/>
            </w:tcBorders>
            <w:vAlign w:val="center"/>
          </w:tcPr>
          <w:p w14:paraId="309CE2B6" w14:textId="77777777" w:rsidR="00555FE6" w:rsidRPr="00524254" w:rsidRDefault="00555FE6" w:rsidP="00555FE6">
            <w:pPr>
              <w:pStyle w:val="TableText"/>
              <w:jc w:val="center"/>
              <w:cnfStyle w:val="000000000000" w:firstRow="0" w:lastRow="0" w:firstColumn="0" w:lastColumn="0" w:oddVBand="0" w:evenVBand="0" w:oddHBand="0" w:evenHBand="0" w:firstRowFirstColumn="0" w:firstRowLastColumn="0" w:lastRowFirstColumn="0" w:lastRowLastColumn="0"/>
            </w:pPr>
            <w:r w:rsidRPr="00524254">
              <w:t>$</w:t>
            </w:r>
            <w:r>
              <w:t>324.1</w:t>
            </w:r>
          </w:p>
        </w:tc>
        <w:tc>
          <w:tcPr>
            <w:tcW w:w="1253" w:type="dxa"/>
            <w:tcBorders>
              <w:top w:val="single" w:sz="8" w:space="0" w:color="8EAADB" w:themeColor="accent1" w:themeTint="99"/>
              <w:left w:val="single" w:sz="8" w:space="0" w:color="8EAADB" w:themeColor="accent1" w:themeTint="99"/>
              <w:bottom w:val="single" w:sz="8" w:space="0" w:color="8EAADB" w:themeColor="accent1" w:themeTint="99"/>
              <w:right w:val="single" w:sz="12" w:space="0" w:color="8EAADB" w:themeColor="accent1" w:themeTint="99"/>
            </w:tcBorders>
            <w:vAlign w:val="center"/>
          </w:tcPr>
          <w:p w14:paraId="0DB21BB0" w14:textId="77777777" w:rsidR="00555FE6" w:rsidRPr="00524254" w:rsidRDefault="00555FE6" w:rsidP="00555FE6">
            <w:pPr>
              <w:pStyle w:val="TableText"/>
              <w:jc w:val="center"/>
              <w:cnfStyle w:val="000000000000" w:firstRow="0" w:lastRow="0" w:firstColumn="0" w:lastColumn="0" w:oddVBand="0" w:evenVBand="0" w:oddHBand="0" w:evenHBand="0" w:firstRowFirstColumn="0" w:firstRowLastColumn="0" w:lastRowFirstColumn="0" w:lastRowLastColumn="0"/>
            </w:pPr>
            <w:r w:rsidRPr="00524254">
              <w:t>$</w:t>
            </w:r>
            <w:r>
              <w:t>364.4</w:t>
            </w:r>
          </w:p>
        </w:tc>
        <w:tc>
          <w:tcPr>
            <w:tcW w:w="1253" w:type="dxa"/>
            <w:vAlign w:val="center"/>
          </w:tcPr>
          <w:p w14:paraId="6255184E" w14:textId="048EA4A6" w:rsidR="00555FE6" w:rsidRPr="00524254" w:rsidRDefault="00555FE6" w:rsidP="00555FE6">
            <w:pPr>
              <w:pStyle w:val="TableText"/>
              <w:jc w:val="center"/>
              <w:cnfStyle w:val="000000000000" w:firstRow="0" w:lastRow="0" w:firstColumn="0" w:lastColumn="0" w:oddVBand="0" w:evenVBand="0" w:oddHBand="0" w:evenHBand="0" w:firstRowFirstColumn="0" w:firstRowLastColumn="0" w:lastRowFirstColumn="0" w:lastRowLastColumn="0"/>
            </w:pPr>
            <w:r w:rsidRPr="00524254">
              <w:rPr>
                <w:rFonts w:cs="Calibri"/>
                <w:color w:val="000000"/>
              </w:rPr>
              <w:t>$</w:t>
            </w:r>
            <w:r>
              <w:rPr>
                <w:rFonts w:cs="Calibri"/>
                <w:color w:val="000000"/>
              </w:rPr>
              <w:t>171.1</w:t>
            </w:r>
          </w:p>
        </w:tc>
        <w:tc>
          <w:tcPr>
            <w:tcW w:w="1253" w:type="dxa"/>
            <w:tcBorders>
              <w:right w:val="single" w:sz="8" w:space="0" w:color="8EAADB" w:themeColor="accent1" w:themeTint="99"/>
            </w:tcBorders>
            <w:vAlign w:val="center"/>
          </w:tcPr>
          <w:p w14:paraId="49179CA0" w14:textId="78B51111" w:rsidR="00555FE6" w:rsidRPr="00524254" w:rsidRDefault="00555FE6" w:rsidP="00555FE6">
            <w:pPr>
              <w:pStyle w:val="TableText"/>
              <w:jc w:val="center"/>
              <w:cnfStyle w:val="000000000000" w:firstRow="0" w:lastRow="0" w:firstColumn="0" w:lastColumn="0" w:oddVBand="0" w:evenVBand="0" w:oddHBand="0" w:evenHBand="0" w:firstRowFirstColumn="0" w:firstRowLastColumn="0" w:lastRowFirstColumn="0" w:lastRowLastColumn="0"/>
            </w:pPr>
            <w:r w:rsidRPr="00524254">
              <w:t>$</w:t>
            </w:r>
            <w:r>
              <w:t>324.1</w:t>
            </w:r>
          </w:p>
        </w:tc>
        <w:tc>
          <w:tcPr>
            <w:tcW w:w="1254" w:type="dxa"/>
            <w:tcBorders>
              <w:top w:val="single" w:sz="8" w:space="0" w:color="8EAADB" w:themeColor="accent1" w:themeTint="99"/>
              <w:left w:val="single" w:sz="8" w:space="0" w:color="8EAADB" w:themeColor="accent1" w:themeTint="99"/>
              <w:bottom w:val="single" w:sz="8" w:space="0" w:color="8EAADB" w:themeColor="accent1" w:themeTint="99"/>
              <w:right w:val="single" w:sz="12" w:space="0" w:color="8EAADB" w:themeColor="accent1" w:themeTint="99"/>
            </w:tcBorders>
            <w:vAlign w:val="center"/>
          </w:tcPr>
          <w:p w14:paraId="646A6053" w14:textId="61D98704" w:rsidR="00555FE6" w:rsidRPr="00524254" w:rsidRDefault="00555FE6" w:rsidP="00555FE6">
            <w:pPr>
              <w:pStyle w:val="TableText"/>
              <w:jc w:val="center"/>
              <w:cnfStyle w:val="000000000000" w:firstRow="0" w:lastRow="0" w:firstColumn="0" w:lastColumn="0" w:oddVBand="0" w:evenVBand="0" w:oddHBand="0" w:evenHBand="0" w:firstRowFirstColumn="0" w:firstRowLastColumn="0" w:lastRowFirstColumn="0" w:lastRowLastColumn="0"/>
            </w:pPr>
            <w:r w:rsidRPr="00524254">
              <w:t>$</w:t>
            </w:r>
            <w:r>
              <w:t>364.4</w:t>
            </w:r>
          </w:p>
        </w:tc>
      </w:tr>
      <w:tr w:rsidR="00555FE6" w:rsidRPr="00524254" w14:paraId="6CDB82C5" w14:textId="017FF768" w:rsidTr="0025418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016" w:type="dxa"/>
            <w:tcBorders>
              <w:left w:val="single" w:sz="12" w:space="0" w:color="8EAADB" w:themeColor="accent1" w:themeTint="99"/>
            </w:tcBorders>
            <w:vAlign w:val="center"/>
          </w:tcPr>
          <w:p w14:paraId="2B39D369" w14:textId="77777777" w:rsidR="00555FE6" w:rsidRPr="00823AC0" w:rsidRDefault="00555FE6" w:rsidP="00555FE6">
            <w:pPr>
              <w:pStyle w:val="TableText"/>
              <w:rPr>
                <w:b w:val="0"/>
                <w:bCs w:val="0"/>
              </w:rPr>
            </w:pPr>
            <w:r w:rsidRPr="00FE6A8E">
              <w:t>- NRW Cost</w:t>
            </w:r>
          </w:p>
        </w:tc>
        <w:tc>
          <w:tcPr>
            <w:tcW w:w="1253" w:type="dxa"/>
            <w:vAlign w:val="center"/>
          </w:tcPr>
          <w:p w14:paraId="64703377" w14:textId="77777777" w:rsidR="00555FE6" w:rsidRPr="00524254" w:rsidRDefault="00555FE6" w:rsidP="00555FE6">
            <w:pPr>
              <w:pStyle w:val="TableText"/>
              <w:jc w:val="center"/>
              <w:cnfStyle w:val="000000100000" w:firstRow="0" w:lastRow="0" w:firstColumn="0" w:lastColumn="0" w:oddVBand="0" w:evenVBand="0" w:oddHBand="1" w:evenHBand="0" w:firstRowFirstColumn="0" w:firstRowLastColumn="0" w:lastRowFirstColumn="0" w:lastRowLastColumn="0"/>
            </w:pPr>
            <w:r w:rsidRPr="00524254">
              <w:rPr>
                <w:rFonts w:cs="Calibri"/>
                <w:color w:val="000000"/>
              </w:rPr>
              <w:t>$</w:t>
            </w:r>
            <w:r>
              <w:rPr>
                <w:rFonts w:cs="Calibri"/>
                <w:color w:val="000000"/>
              </w:rPr>
              <w:t>25.3</w:t>
            </w:r>
          </w:p>
        </w:tc>
        <w:tc>
          <w:tcPr>
            <w:tcW w:w="1253" w:type="dxa"/>
            <w:tcBorders>
              <w:right w:val="single" w:sz="8" w:space="0" w:color="8EAADB" w:themeColor="accent1" w:themeTint="99"/>
            </w:tcBorders>
            <w:vAlign w:val="center"/>
          </w:tcPr>
          <w:p w14:paraId="3F7351A5" w14:textId="77777777" w:rsidR="00555FE6" w:rsidRPr="00524254" w:rsidRDefault="00555FE6" w:rsidP="00555FE6">
            <w:pPr>
              <w:pStyle w:val="TableText"/>
              <w:jc w:val="center"/>
              <w:cnfStyle w:val="000000100000" w:firstRow="0" w:lastRow="0" w:firstColumn="0" w:lastColumn="0" w:oddVBand="0" w:evenVBand="0" w:oddHBand="1" w:evenHBand="0" w:firstRowFirstColumn="0" w:firstRowLastColumn="0" w:lastRowFirstColumn="0" w:lastRowLastColumn="0"/>
            </w:pPr>
            <w:r w:rsidRPr="00524254">
              <w:t>$</w:t>
            </w:r>
            <w:r>
              <w:t>27.7</w:t>
            </w:r>
          </w:p>
        </w:tc>
        <w:tc>
          <w:tcPr>
            <w:tcW w:w="1253" w:type="dxa"/>
            <w:tcBorders>
              <w:top w:val="single" w:sz="8" w:space="0" w:color="8EAADB" w:themeColor="accent1" w:themeTint="99"/>
              <w:left w:val="single" w:sz="8" w:space="0" w:color="8EAADB" w:themeColor="accent1" w:themeTint="99"/>
              <w:bottom w:val="single" w:sz="8" w:space="0" w:color="8EAADB" w:themeColor="accent1" w:themeTint="99"/>
              <w:right w:val="single" w:sz="12" w:space="0" w:color="8EAADB" w:themeColor="accent1" w:themeTint="99"/>
            </w:tcBorders>
            <w:vAlign w:val="center"/>
          </w:tcPr>
          <w:p w14:paraId="460FF29E" w14:textId="77777777" w:rsidR="00555FE6" w:rsidRPr="00524254" w:rsidRDefault="00555FE6" w:rsidP="00555FE6">
            <w:pPr>
              <w:pStyle w:val="TableText"/>
              <w:jc w:val="center"/>
              <w:cnfStyle w:val="000000100000" w:firstRow="0" w:lastRow="0" w:firstColumn="0" w:lastColumn="0" w:oddVBand="0" w:evenVBand="0" w:oddHBand="1" w:evenHBand="0" w:firstRowFirstColumn="0" w:firstRowLastColumn="0" w:lastRowFirstColumn="0" w:lastRowLastColumn="0"/>
            </w:pPr>
            <w:r w:rsidRPr="00524254">
              <w:t>$</w:t>
            </w:r>
            <w:r>
              <w:t>29.1</w:t>
            </w:r>
          </w:p>
        </w:tc>
        <w:tc>
          <w:tcPr>
            <w:tcW w:w="1253" w:type="dxa"/>
            <w:vAlign w:val="center"/>
          </w:tcPr>
          <w:p w14:paraId="2432A67B" w14:textId="6F4F37F6" w:rsidR="00555FE6" w:rsidRPr="00524254" w:rsidRDefault="00555FE6" w:rsidP="00555FE6">
            <w:pPr>
              <w:pStyle w:val="TableText"/>
              <w:jc w:val="center"/>
              <w:cnfStyle w:val="000000100000" w:firstRow="0" w:lastRow="0" w:firstColumn="0" w:lastColumn="0" w:oddVBand="0" w:evenVBand="0" w:oddHBand="1" w:evenHBand="0" w:firstRowFirstColumn="0" w:firstRowLastColumn="0" w:lastRowFirstColumn="0" w:lastRowLastColumn="0"/>
            </w:pPr>
            <w:r w:rsidRPr="00524254">
              <w:rPr>
                <w:rFonts w:cs="Calibri"/>
                <w:color w:val="000000"/>
              </w:rPr>
              <w:t>$</w:t>
            </w:r>
            <w:r>
              <w:rPr>
                <w:rFonts w:cs="Calibri"/>
                <w:color w:val="000000"/>
              </w:rPr>
              <w:t>25.3</w:t>
            </w:r>
          </w:p>
        </w:tc>
        <w:tc>
          <w:tcPr>
            <w:tcW w:w="1253" w:type="dxa"/>
            <w:tcBorders>
              <w:right w:val="single" w:sz="8" w:space="0" w:color="8EAADB" w:themeColor="accent1" w:themeTint="99"/>
            </w:tcBorders>
            <w:vAlign w:val="center"/>
          </w:tcPr>
          <w:p w14:paraId="49C19F21" w14:textId="555CC0CC" w:rsidR="00555FE6" w:rsidRPr="00524254" w:rsidRDefault="00555FE6" w:rsidP="00555FE6">
            <w:pPr>
              <w:pStyle w:val="TableText"/>
              <w:jc w:val="center"/>
              <w:cnfStyle w:val="000000100000" w:firstRow="0" w:lastRow="0" w:firstColumn="0" w:lastColumn="0" w:oddVBand="0" w:evenVBand="0" w:oddHBand="1" w:evenHBand="0" w:firstRowFirstColumn="0" w:firstRowLastColumn="0" w:lastRowFirstColumn="0" w:lastRowLastColumn="0"/>
            </w:pPr>
            <w:r w:rsidRPr="00524254">
              <w:t>$</w:t>
            </w:r>
            <w:r>
              <w:t>27.7</w:t>
            </w:r>
          </w:p>
        </w:tc>
        <w:tc>
          <w:tcPr>
            <w:tcW w:w="1254" w:type="dxa"/>
            <w:tcBorders>
              <w:top w:val="single" w:sz="8" w:space="0" w:color="8EAADB" w:themeColor="accent1" w:themeTint="99"/>
              <w:left w:val="single" w:sz="8" w:space="0" w:color="8EAADB" w:themeColor="accent1" w:themeTint="99"/>
              <w:bottom w:val="single" w:sz="8" w:space="0" w:color="8EAADB" w:themeColor="accent1" w:themeTint="99"/>
              <w:right w:val="single" w:sz="12" w:space="0" w:color="8EAADB" w:themeColor="accent1" w:themeTint="99"/>
            </w:tcBorders>
            <w:vAlign w:val="center"/>
          </w:tcPr>
          <w:p w14:paraId="2542F187" w14:textId="711D97C4" w:rsidR="00555FE6" w:rsidRPr="00524254" w:rsidRDefault="00555FE6" w:rsidP="00555FE6">
            <w:pPr>
              <w:pStyle w:val="TableText"/>
              <w:jc w:val="center"/>
              <w:cnfStyle w:val="000000100000" w:firstRow="0" w:lastRow="0" w:firstColumn="0" w:lastColumn="0" w:oddVBand="0" w:evenVBand="0" w:oddHBand="1" w:evenHBand="0" w:firstRowFirstColumn="0" w:firstRowLastColumn="0" w:lastRowFirstColumn="0" w:lastRowLastColumn="0"/>
            </w:pPr>
            <w:r w:rsidRPr="00524254">
              <w:t>$</w:t>
            </w:r>
            <w:r>
              <w:t>29.1</w:t>
            </w:r>
          </w:p>
        </w:tc>
      </w:tr>
      <w:tr w:rsidR="00555FE6" w:rsidRPr="00524254" w14:paraId="6D9BBE95" w14:textId="4F68CA58" w:rsidTr="00254187">
        <w:trPr>
          <w:trHeight w:val="360"/>
        </w:trPr>
        <w:tc>
          <w:tcPr>
            <w:cnfStyle w:val="001000000000" w:firstRow="0" w:lastRow="0" w:firstColumn="1" w:lastColumn="0" w:oddVBand="0" w:evenVBand="0" w:oddHBand="0" w:evenHBand="0" w:firstRowFirstColumn="0" w:firstRowLastColumn="0" w:lastRowFirstColumn="0" w:lastRowLastColumn="0"/>
            <w:tcW w:w="2016" w:type="dxa"/>
            <w:tcBorders>
              <w:left w:val="single" w:sz="12" w:space="0" w:color="8EAADB" w:themeColor="accent1" w:themeTint="99"/>
            </w:tcBorders>
            <w:vAlign w:val="center"/>
          </w:tcPr>
          <w:p w14:paraId="3C34A492" w14:textId="77777777" w:rsidR="00555FE6" w:rsidRPr="00B2239F" w:rsidRDefault="00555FE6" w:rsidP="00555FE6">
            <w:pPr>
              <w:pStyle w:val="TableText"/>
              <w:rPr>
                <w:b w:val="0"/>
                <w:bCs w:val="0"/>
                <w:i/>
                <w:iCs/>
              </w:rPr>
            </w:pPr>
            <w:r w:rsidRPr="00B2239F">
              <w:rPr>
                <w:i/>
                <w:iCs/>
              </w:rPr>
              <w:t>Recycled Water Cost</w:t>
            </w:r>
          </w:p>
        </w:tc>
        <w:tc>
          <w:tcPr>
            <w:tcW w:w="1253" w:type="dxa"/>
            <w:vAlign w:val="center"/>
          </w:tcPr>
          <w:p w14:paraId="4A9A492F" w14:textId="77777777" w:rsidR="00555FE6" w:rsidRPr="00B2239F" w:rsidRDefault="00555FE6" w:rsidP="00555FE6">
            <w:pPr>
              <w:pStyle w:val="TableText"/>
              <w:jc w:val="center"/>
              <w:cnfStyle w:val="000000000000" w:firstRow="0" w:lastRow="0" w:firstColumn="0" w:lastColumn="0" w:oddVBand="0" w:evenVBand="0" w:oddHBand="0" w:evenHBand="0" w:firstRowFirstColumn="0" w:firstRowLastColumn="0" w:lastRowFirstColumn="0" w:lastRowLastColumn="0"/>
              <w:rPr>
                <w:i/>
                <w:iCs/>
              </w:rPr>
            </w:pPr>
            <w:r>
              <w:rPr>
                <w:rFonts w:cs="Calibri"/>
                <w:i/>
                <w:iCs/>
                <w:color w:val="000000"/>
              </w:rPr>
              <w:t>$151.2</w:t>
            </w:r>
          </w:p>
        </w:tc>
        <w:tc>
          <w:tcPr>
            <w:tcW w:w="1253" w:type="dxa"/>
            <w:tcBorders>
              <w:right w:val="single" w:sz="8" w:space="0" w:color="8EAADB" w:themeColor="accent1" w:themeTint="99"/>
            </w:tcBorders>
            <w:vAlign w:val="center"/>
          </w:tcPr>
          <w:p w14:paraId="1BF6693E" w14:textId="77777777" w:rsidR="00555FE6" w:rsidRPr="00B2239F" w:rsidRDefault="00555FE6" w:rsidP="00555FE6">
            <w:pPr>
              <w:pStyle w:val="TableText"/>
              <w:jc w:val="center"/>
              <w:cnfStyle w:val="000000000000" w:firstRow="0" w:lastRow="0" w:firstColumn="0" w:lastColumn="0" w:oddVBand="0" w:evenVBand="0" w:oddHBand="0" w:evenHBand="0" w:firstRowFirstColumn="0" w:firstRowLastColumn="0" w:lastRowFirstColumn="0" w:lastRowLastColumn="0"/>
              <w:rPr>
                <w:i/>
                <w:iCs/>
              </w:rPr>
            </w:pPr>
            <w:r w:rsidRPr="00524254">
              <w:rPr>
                <w:i/>
                <w:iCs/>
              </w:rPr>
              <w:t>$</w:t>
            </w:r>
            <w:r>
              <w:rPr>
                <w:i/>
                <w:iCs/>
              </w:rPr>
              <w:t>179.2</w:t>
            </w:r>
          </w:p>
        </w:tc>
        <w:tc>
          <w:tcPr>
            <w:tcW w:w="1253" w:type="dxa"/>
            <w:tcBorders>
              <w:top w:val="single" w:sz="8" w:space="0" w:color="8EAADB" w:themeColor="accent1" w:themeTint="99"/>
              <w:left w:val="single" w:sz="8" w:space="0" w:color="8EAADB" w:themeColor="accent1" w:themeTint="99"/>
              <w:bottom w:val="single" w:sz="8" w:space="0" w:color="8EAADB" w:themeColor="accent1" w:themeTint="99"/>
              <w:right w:val="single" w:sz="12" w:space="0" w:color="8EAADB" w:themeColor="accent1" w:themeTint="99"/>
            </w:tcBorders>
            <w:vAlign w:val="center"/>
          </w:tcPr>
          <w:p w14:paraId="573028D8" w14:textId="77777777" w:rsidR="00555FE6" w:rsidRPr="00524254" w:rsidRDefault="00555FE6" w:rsidP="00555FE6">
            <w:pPr>
              <w:pStyle w:val="TableText"/>
              <w:jc w:val="center"/>
              <w:cnfStyle w:val="000000000000" w:firstRow="0" w:lastRow="0" w:firstColumn="0" w:lastColumn="0" w:oddVBand="0" w:evenVBand="0" w:oddHBand="0" w:evenHBand="0" w:firstRowFirstColumn="0" w:firstRowLastColumn="0" w:lastRowFirstColumn="0" w:lastRowLastColumn="0"/>
            </w:pPr>
            <w:r w:rsidRPr="00524254">
              <w:rPr>
                <w:i/>
                <w:iCs/>
              </w:rPr>
              <w:t>$</w:t>
            </w:r>
            <w:r>
              <w:rPr>
                <w:i/>
                <w:iCs/>
              </w:rPr>
              <w:t>188.3</w:t>
            </w:r>
          </w:p>
        </w:tc>
        <w:tc>
          <w:tcPr>
            <w:tcW w:w="1253" w:type="dxa"/>
            <w:vAlign w:val="center"/>
          </w:tcPr>
          <w:p w14:paraId="2D6EA6BA" w14:textId="33EE2505" w:rsidR="00555FE6" w:rsidRPr="00524254" w:rsidRDefault="00555FE6" w:rsidP="00555FE6">
            <w:pPr>
              <w:pStyle w:val="TableText"/>
              <w:jc w:val="center"/>
              <w:cnfStyle w:val="000000000000" w:firstRow="0" w:lastRow="0" w:firstColumn="0" w:lastColumn="0" w:oddVBand="0" w:evenVBand="0" w:oddHBand="0" w:evenHBand="0" w:firstRowFirstColumn="0" w:firstRowLastColumn="0" w:lastRowFirstColumn="0" w:lastRowLastColumn="0"/>
              <w:rPr>
                <w:i/>
                <w:iCs/>
              </w:rPr>
            </w:pPr>
            <w:r>
              <w:rPr>
                <w:rFonts w:cs="Calibri"/>
                <w:i/>
                <w:iCs/>
                <w:color w:val="000000"/>
              </w:rPr>
              <w:t>$97.2</w:t>
            </w:r>
          </w:p>
        </w:tc>
        <w:tc>
          <w:tcPr>
            <w:tcW w:w="1253" w:type="dxa"/>
            <w:tcBorders>
              <w:right w:val="single" w:sz="8" w:space="0" w:color="8EAADB" w:themeColor="accent1" w:themeTint="99"/>
            </w:tcBorders>
            <w:vAlign w:val="center"/>
          </w:tcPr>
          <w:p w14:paraId="1F61FC6F" w14:textId="230A6126" w:rsidR="00555FE6" w:rsidRPr="00524254" w:rsidRDefault="00555FE6" w:rsidP="00555FE6">
            <w:pPr>
              <w:pStyle w:val="TableText"/>
              <w:jc w:val="center"/>
              <w:cnfStyle w:val="000000000000" w:firstRow="0" w:lastRow="0" w:firstColumn="0" w:lastColumn="0" w:oddVBand="0" w:evenVBand="0" w:oddHBand="0" w:evenHBand="0" w:firstRowFirstColumn="0" w:firstRowLastColumn="0" w:lastRowFirstColumn="0" w:lastRowLastColumn="0"/>
              <w:rPr>
                <w:i/>
                <w:iCs/>
              </w:rPr>
            </w:pPr>
            <w:r w:rsidRPr="00524254">
              <w:rPr>
                <w:i/>
                <w:iCs/>
              </w:rPr>
              <w:t>$</w:t>
            </w:r>
            <w:r>
              <w:rPr>
                <w:i/>
                <w:iCs/>
              </w:rPr>
              <w:t>124.4</w:t>
            </w:r>
          </w:p>
        </w:tc>
        <w:tc>
          <w:tcPr>
            <w:tcW w:w="1254" w:type="dxa"/>
            <w:tcBorders>
              <w:top w:val="single" w:sz="8" w:space="0" w:color="8EAADB" w:themeColor="accent1" w:themeTint="99"/>
              <w:left w:val="single" w:sz="8" w:space="0" w:color="8EAADB" w:themeColor="accent1" w:themeTint="99"/>
              <w:bottom w:val="single" w:sz="8" w:space="0" w:color="8EAADB" w:themeColor="accent1" w:themeTint="99"/>
              <w:right w:val="single" w:sz="12" w:space="0" w:color="8EAADB" w:themeColor="accent1" w:themeTint="99"/>
            </w:tcBorders>
            <w:vAlign w:val="center"/>
          </w:tcPr>
          <w:p w14:paraId="02278284" w14:textId="3C8B4966" w:rsidR="00555FE6" w:rsidRPr="00524254" w:rsidRDefault="00555FE6" w:rsidP="00555FE6">
            <w:pPr>
              <w:pStyle w:val="TableText"/>
              <w:jc w:val="center"/>
              <w:cnfStyle w:val="000000000000" w:firstRow="0" w:lastRow="0" w:firstColumn="0" w:lastColumn="0" w:oddVBand="0" w:evenVBand="0" w:oddHBand="0" w:evenHBand="0" w:firstRowFirstColumn="0" w:firstRowLastColumn="0" w:lastRowFirstColumn="0" w:lastRowLastColumn="0"/>
              <w:rPr>
                <w:i/>
                <w:iCs/>
              </w:rPr>
            </w:pPr>
            <w:r w:rsidRPr="00524254">
              <w:rPr>
                <w:i/>
                <w:iCs/>
              </w:rPr>
              <w:t>$</w:t>
            </w:r>
            <w:r w:rsidR="00254187">
              <w:rPr>
                <w:i/>
                <w:iCs/>
              </w:rPr>
              <w:t>130.7</w:t>
            </w:r>
          </w:p>
        </w:tc>
      </w:tr>
      <w:tr w:rsidR="00254187" w:rsidRPr="00524254" w14:paraId="7E9B0F3C" w14:textId="241C1316" w:rsidTr="0025418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016" w:type="dxa"/>
            <w:tcBorders>
              <w:left w:val="single" w:sz="12" w:space="0" w:color="8EAADB" w:themeColor="accent1" w:themeTint="99"/>
            </w:tcBorders>
            <w:vAlign w:val="center"/>
          </w:tcPr>
          <w:p w14:paraId="0AEB4B59" w14:textId="77777777" w:rsidR="00254187" w:rsidRPr="00524254" w:rsidRDefault="00254187" w:rsidP="00254187">
            <w:pPr>
              <w:pStyle w:val="TableText"/>
              <w:rPr>
                <w:b w:val="0"/>
              </w:rPr>
            </w:pPr>
            <w:r w:rsidRPr="00524254">
              <w:t>PV Benefit</w:t>
            </w:r>
          </w:p>
        </w:tc>
        <w:tc>
          <w:tcPr>
            <w:tcW w:w="1253" w:type="dxa"/>
            <w:vAlign w:val="center"/>
          </w:tcPr>
          <w:p w14:paraId="7FB65A7D" w14:textId="77777777" w:rsidR="00254187" w:rsidRPr="00254187" w:rsidRDefault="00254187" w:rsidP="00254187">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254187">
              <w:rPr>
                <w:b/>
                <w:bCs/>
              </w:rPr>
              <w:t>$593.8</w:t>
            </w:r>
          </w:p>
        </w:tc>
        <w:tc>
          <w:tcPr>
            <w:tcW w:w="1253" w:type="dxa"/>
            <w:tcBorders>
              <w:right w:val="single" w:sz="8" w:space="0" w:color="8EAADB" w:themeColor="accent1" w:themeTint="99"/>
            </w:tcBorders>
            <w:vAlign w:val="center"/>
          </w:tcPr>
          <w:p w14:paraId="11BA605A" w14:textId="77777777" w:rsidR="00254187" w:rsidRPr="00254187" w:rsidRDefault="00254187" w:rsidP="00254187">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254187">
              <w:rPr>
                <w:b/>
                <w:bCs/>
              </w:rPr>
              <w:t>$1,182.9</w:t>
            </w:r>
          </w:p>
        </w:tc>
        <w:tc>
          <w:tcPr>
            <w:tcW w:w="1253" w:type="dxa"/>
            <w:tcBorders>
              <w:top w:val="single" w:sz="8" w:space="0" w:color="8EAADB" w:themeColor="accent1" w:themeTint="99"/>
              <w:left w:val="single" w:sz="8" w:space="0" w:color="8EAADB" w:themeColor="accent1" w:themeTint="99"/>
              <w:bottom w:val="single" w:sz="8" w:space="0" w:color="8EAADB" w:themeColor="accent1" w:themeTint="99"/>
              <w:right w:val="single" w:sz="12" w:space="0" w:color="8EAADB" w:themeColor="accent1" w:themeTint="99"/>
            </w:tcBorders>
            <w:vAlign w:val="center"/>
          </w:tcPr>
          <w:p w14:paraId="360F28C0" w14:textId="77777777" w:rsidR="00254187" w:rsidRPr="00254187" w:rsidRDefault="00254187" w:rsidP="00254187">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254187">
              <w:rPr>
                <w:b/>
                <w:bCs/>
              </w:rPr>
              <w:t>$1,259.8</w:t>
            </w:r>
          </w:p>
        </w:tc>
        <w:tc>
          <w:tcPr>
            <w:tcW w:w="1253" w:type="dxa"/>
            <w:vAlign w:val="center"/>
          </w:tcPr>
          <w:p w14:paraId="154F468D" w14:textId="530586D4" w:rsidR="00254187" w:rsidRPr="00254187" w:rsidRDefault="00254187" w:rsidP="00254187">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254187">
              <w:rPr>
                <w:b/>
                <w:bCs/>
              </w:rPr>
              <w:t>$539.9</w:t>
            </w:r>
          </w:p>
        </w:tc>
        <w:tc>
          <w:tcPr>
            <w:tcW w:w="1253" w:type="dxa"/>
            <w:vAlign w:val="center"/>
          </w:tcPr>
          <w:p w14:paraId="233E9B43" w14:textId="1F072A42" w:rsidR="00254187" w:rsidRPr="00254187" w:rsidRDefault="00254187" w:rsidP="00254187">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254187">
              <w:rPr>
                <w:b/>
                <w:bCs/>
              </w:rPr>
              <w:t>$1,128.9</w:t>
            </w:r>
          </w:p>
        </w:tc>
        <w:tc>
          <w:tcPr>
            <w:tcW w:w="1254" w:type="dxa"/>
            <w:tcBorders>
              <w:right w:val="single" w:sz="12" w:space="0" w:color="8EAADB" w:themeColor="accent1" w:themeTint="99"/>
            </w:tcBorders>
            <w:vAlign w:val="center"/>
          </w:tcPr>
          <w:p w14:paraId="6414FCCB" w14:textId="4FF095CA" w:rsidR="00254187" w:rsidRPr="00254187" w:rsidRDefault="00254187" w:rsidP="00254187">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254187">
              <w:rPr>
                <w:b/>
                <w:bCs/>
              </w:rPr>
              <w:t>$1,165.4</w:t>
            </w:r>
          </w:p>
        </w:tc>
      </w:tr>
      <w:tr w:rsidR="00254187" w:rsidRPr="00524254" w14:paraId="5D2DDF68" w14:textId="0A60D85F" w:rsidTr="00254187">
        <w:trPr>
          <w:trHeight w:val="360"/>
        </w:trPr>
        <w:tc>
          <w:tcPr>
            <w:cnfStyle w:val="001000000000" w:firstRow="0" w:lastRow="0" w:firstColumn="1" w:lastColumn="0" w:oddVBand="0" w:evenVBand="0" w:oddHBand="0" w:evenHBand="0" w:firstRowFirstColumn="0" w:firstRowLastColumn="0" w:lastRowFirstColumn="0" w:lastRowLastColumn="0"/>
            <w:tcW w:w="2016" w:type="dxa"/>
            <w:tcBorders>
              <w:left w:val="single" w:sz="12" w:space="0" w:color="8EAADB" w:themeColor="accent1" w:themeTint="99"/>
            </w:tcBorders>
            <w:vAlign w:val="center"/>
          </w:tcPr>
          <w:p w14:paraId="1DA46790" w14:textId="77777777" w:rsidR="00254187" w:rsidRPr="00823AC0" w:rsidRDefault="00254187" w:rsidP="00254187">
            <w:pPr>
              <w:pStyle w:val="TableText"/>
              <w:rPr>
                <w:b w:val="0"/>
                <w:bCs w:val="0"/>
              </w:rPr>
            </w:pPr>
            <w:r w:rsidRPr="00FE6A8E">
              <w:t>Water Supply Benefits</w:t>
            </w:r>
          </w:p>
        </w:tc>
        <w:tc>
          <w:tcPr>
            <w:tcW w:w="1253" w:type="dxa"/>
            <w:vAlign w:val="center"/>
          </w:tcPr>
          <w:p w14:paraId="4725AF0B" w14:textId="77777777" w:rsidR="00254187" w:rsidRPr="004A0183" w:rsidRDefault="00254187" w:rsidP="00254187">
            <w:pPr>
              <w:pStyle w:val="TableText"/>
              <w:jc w:val="center"/>
              <w:cnfStyle w:val="000000000000" w:firstRow="0" w:lastRow="0" w:firstColumn="0" w:lastColumn="0" w:oddVBand="0" w:evenVBand="0" w:oddHBand="0" w:evenHBand="0" w:firstRowFirstColumn="0" w:firstRowLastColumn="0" w:lastRowFirstColumn="0" w:lastRowLastColumn="0"/>
              <w:rPr>
                <w:i/>
                <w:iCs/>
              </w:rPr>
            </w:pPr>
            <w:r w:rsidRPr="004A0183">
              <w:rPr>
                <w:rFonts w:cs="Calibri"/>
                <w:i/>
                <w:iCs/>
                <w:color w:val="000000"/>
              </w:rPr>
              <w:t>-</w:t>
            </w:r>
          </w:p>
        </w:tc>
        <w:tc>
          <w:tcPr>
            <w:tcW w:w="1253" w:type="dxa"/>
            <w:tcBorders>
              <w:right w:val="single" w:sz="8" w:space="0" w:color="8EAADB" w:themeColor="accent1" w:themeTint="99"/>
            </w:tcBorders>
            <w:vAlign w:val="center"/>
          </w:tcPr>
          <w:p w14:paraId="0BB90786" w14:textId="77777777" w:rsidR="00254187" w:rsidRPr="004A0183" w:rsidRDefault="00254187" w:rsidP="00254187">
            <w:pPr>
              <w:pStyle w:val="TableText"/>
              <w:jc w:val="center"/>
              <w:cnfStyle w:val="000000000000" w:firstRow="0" w:lastRow="0" w:firstColumn="0" w:lastColumn="0" w:oddVBand="0" w:evenVBand="0" w:oddHBand="0" w:evenHBand="0" w:firstRowFirstColumn="0" w:firstRowLastColumn="0" w:lastRowFirstColumn="0" w:lastRowLastColumn="0"/>
              <w:rPr>
                <w:i/>
                <w:iCs/>
              </w:rPr>
            </w:pPr>
            <w:r w:rsidRPr="004A0183">
              <w:rPr>
                <w:rFonts w:cs="Calibri"/>
                <w:i/>
                <w:iCs/>
                <w:color w:val="000000"/>
              </w:rPr>
              <w:t>$</w:t>
            </w:r>
            <w:r>
              <w:rPr>
                <w:rFonts w:cs="Calibri"/>
                <w:i/>
                <w:iCs/>
                <w:color w:val="000000"/>
              </w:rPr>
              <w:t>529.1</w:t>
            </w:r>
          </w:p>
        </w:tc>
        <w:tc>
          <w:tcPr>
            <w:tcW w:w="1253" w:type="dxa"/>
            <w:tcBorders>
              <w:top w:val="single" w:sz="8" w:space="0" w:color="8EAADB" w:themeColor="accent1" w:themeTint="99"/>
              <w:left w:val="single" w:sz="8" w:space="0" w:color="8EAADB" w:themeColor="accent1" w:themeTint="99"/>
              <w:bottom w:val="single" w:sz="8" w:space="0" w:color="8EAADB" w:themeColor="accent1" w:themeTint="99"/>
              <w:right w:val="single" w:sz="12" w:space="0" w:color="8EAADB" w:themeColor="accent1" w:themeTint="99"/>
            </w:tcBorders>
            <w:vAlign w:val="center"/>
          </w:tcPr>
          <w:p w14:paraId="546260F1" w14:textId="77777777" w:rsidR="00254187" w:rsidRPr="004A0183" w:rsidRDefault="00254187" w:rsidP="00254187">
            <w:pPr>
              <w:pStyle w:val="TableText"/>
              <w:jc w:val="center"/>
              <w:cnfStyle w:val="000000000000" w:firstRow="0" w:lastRow="0" w:firstColumn="0" w:lastColumn="0" w:oddVBand="0" w:evenVBand="0" w:oddHBand="0" w:evenHBand="0" w:firstRowFirstColumn="0" w:firstRowLastColumn="0" w:lastRowFirstColumn="0" w:lastRowLastColumn="0"/>
              <w:rPr>
                <w:rFonts w:cs="Calibri"/>
                <w:i/>
                <w:iCs/>
                <w:color w:val="000000"/>
              </w:rPr>
            </w:pPr>
            <w:r w:rsidRPr="004A0183">
              <w:rPr>
                <w:rFonts w:cs="Calibri"/>
                <w:i/>
                <w:iCs/>
                <w:color w:val="000000"/>
              </w:rPr>
              <w:t>$</w:t>
            </w:r>
            <w:r>
              <w:rPr>
                <w:rFonts w:cs="Calibri"/>
                <w:i/>
                <w:iCs/>
                <w:color w:val="000000"/>
              </w:rPr>
              <w:t>380.8</w:t>
            </w:r>
          </w:p>
        </w:tc>
        <w:tc>
          <w:tcPr>
            <w:tcW w:w="1253" w:type="dxa"/>
            <w:vAlign w:val="center"/>
          </w:tcPr>
          <w:p w14:paraId="39AEFB2A" w14:textId="13E9F3A5" w:rsidR="00254187" w:rsidRPr="004A0183" w:rsidRDefault="00254187" w:rsidP="00254187">
            <w:pPr>
              <w:pStyle w:val="TableText"/>
              <w:jc w:val="center"/>
              <w:cnfStyle w:val="000000000000" w:firstRow="0" w:lastRow="0" w:firstColumn="0" w:lastColumn="0" w:oddVBand="0" w:evenVBand="0" w:oddHBand="0" w:evenHBand="0" w:firstRowFirstColumn="0" w:firstRowLastColumn="0" w:lastRowFirstColumn="0" w:lastRowLastColumn="0"/>
              <w:rPr>
                <w:rFonts w:cs="Calibri"/>
                <w:i/>
                <w:iCs/>
                <w:color w:val="000000"/>
              </w:rPr>
            </w:pPr>
            <w:r w:rsidRPr="004A0183">
              <w:rPr>
                <w:rFonts w:cs="Calibri"/>
                <w:i/>
                <w:iCs/>
                <w:color w:val="000000"/>
              </w:rPr>
              <w:t>-</w:t>
            </w:r>
          </w:p>
        </w:tc>
        <w:tc>
          <w:tcPr>
            <w:tcW w:w="1253" w:type="dxa"/>
            <w:vAlign w:val="center"/>
          </w:tcPr>
          <w:p w14:paraId="7B7DAF75" w14:textId="70ECD5B4" w:rsidR="00254187" w:rsidRPr="004A0183" w:rsidRDefault="00254187" w:rsidP="00254187">
            <w:pPr>
              <w:pStyle w:val="TableText"/>
              <w:jc w:val="center"/>
              <w:cnfStyle w:val="000000000000" w:firstRow="0" w:lastRow="0" w:firstColumn="0" w:lastColumn="0" w:oddVBand="0" w:evenVBand="0" w:oddHBand="0" w:evenHBand="0" w:firstRowFirstColumn="0" w:firstRowLastColumn="0" w:lastRowFirstColumn="0" w:lastRowLastColumn="0"/>
              <w:rPr>
                <w:rFonts w:cs="Calibri"/>
                <w:i/>
                <w:iCs/>
                <w:color w:val="000000"/>
              </w:rPr>
            </w:pPr>
            <w:r>
              <w:rPr>
                <w:rFonts w:cs="Calibri"/>
                <w:i/>
                <w:iCs/>
                <w:color w:val="000000"/>
              </w:rPr>
              <w:t>$529.1</w:t>
            </w:r>
          </w:p>
        </w:tc>
        <w:tc>
          <w:tcPr>
            <w:tcW w:w="1254" w:type="dxa"/>
            <w:tcBorders>
              <w:right w:val="single" w:sz="12" w:space="0" w:color="8EAADB" w:themeColor="accent1" w:themeTint="99"/>
            </w:tcBorders>
            <w:vAlign w:val="center"/>
          </w:tcPr>
          <w:p w14:paraId="405972A1" w14:textId="7E276C6C" w:rsidR="00254187" w:rsidRPr="004A0183" w:rsidRDefault="00254187" w:rsidP="00254187">
            <w:pPr>
              <w:pStyle w:val="TableText"/>
              <w:jc w:val="center"/>
              <w:cnfStyle w:val="000000000000" w:firstRow="0" w:lastRow="0" w:firstColumn="0" w:lastColumn="0" w:oddVBand="0" w:evenVBand="0" w:oddHBand="0" w:evenHBand="0" w:firstRowFirstColumn="0" w:firstRowLastColumn="0" w:lastRowFirstColumn="0" w:lastRowLastColumn="0"/>
              <w:rPr>
                <w:rFonts w:cs="Calibri"/>
                <w:i/>
                <w:iCs/>
                <w:color w:val="000000"/>
              </w:rPr>
            </w:pPr>
            <w:r>
              <w:rPr>
                <w:rFonts w:cs="Calibri"/>
                <w:i/>
                <w:iCs/>
                <w:color w:val="000000"/>
              </w:rPr>
              <w:t>$460.1</w:t>
            </w:r>
          </w:p>
        </w:tc>
      </w:tr>
      <w:tr w:rsidR="00254187" w:rsidRPr="00524254" w14:paraId="57AFC392" w14:textId="07AC8395" w:rsidTr="0025418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016" w:type="dxa"/>
            <w:tcBorders>
              <w:left w:val="single" w:sz="12" w:space="0" w:color="8EAADB" w:themeColor="accent1" w:themeTint="99"/>
            </w:tcBorders>
            <w:vAlign w:val="center"/>
          </w:tcPr>
          <w:p w14:paraId="43E07B2A" w14:textId="77777777" w:rsidR="00254187" w:rsidRPr="00823AC0" w:rsidRDefault="00254187" w:rsidP="00254187">
            <w:pPr>
              <w:pStyle w:val="TableText"/>
              <w:rPr>
                <w:b w:val="0"/>
                <w:bCs w:val="0"/>
              </w:rPr>
            </w:pPr>
            <w:r w:rsidRPr="00FE6A8E">
              <w:t>Water Quality Benefits</w:t>
            </w:r>
          </w:p>
        </w:tc>
        <w:tc>
          <w:tcPr>
            <w:tcW w:w="1253" w:type="dxa"/>
            <w:vAlign w:val="center"/>
          </w:tcPr>
          <w:p w14:paraId="15E1C0B1" w14:textId="77777777" w:rsidR="00254187" w:rsidRPr="004A0183" w:rsidRDefault="00254187" w:rsidP="00254187">
            <w:pPr>
              <w:pStyle w:val="TableText"/>
              <w:jc w:val="center"/>
              <w:cnfStyle w:val="000000100000" w:firstRow="0" w:lastRow="0" w:firstColumn="0" w:lastColumn="0" w:oddVBand="0" w:evenVBand="0" w:oddHBand="1" w:evenHBand="0" w:firstRowFirstColumn="0" w:firstRowLastColumn="0" w:lastRowFirstColumn="0" w:lastRowLastColumn="0"/>
              <w:rPr>
                <w:i/>
                <w:iCs/>
              </w:rPr>
            </w:pPr>
            <w:r w:rsidRPr="004A0183">
              <w:rPr>
                <w:rFonts w:cs="Calibri"/>
                <w:i/>
                <w:iCs/>
                <w:color w:val="000000"/>
              </w:rPr>
              <w:t>$</w:t>
            </w:r>
            <w:r>
              <w:rPr>
                <w:rFonts w:cs="Calibri"/>
                <w:i/>
                <w:iCs/>
                <w:color w:val="000000"/>
              </w:rPr>
              <w:t>593.8</w:t>
            </w:r>
          </w:p>
        </w:tc>
        <w:tc>
          <w:tcPr>
            <w:tcW w:w="1253" w:type="dxa"/>
            <w:tcBorders>
              <w:right w:val="single" w:sz="8" w:space="0" w:color="8EAADB" w:themeColor="accent1" w:themeTint="99"/>
            </w:tcBorders>
            <w:vAlign w:val="center"/>
          </w:tcPr>
          <w:p w14:paraId="10AA1641" w14:textId="77777777" w:rsidR="00254187" w:rsidRPr="004A0183" w:rsidRDefault="00254187" w:rsidP="00254187">
            <w:pPr>
              <w:pStyle w:val="TableText"/>
              <w:jc w:val="center"/>
              <w:cnfStyle w:val="000000100000" w:firstRow="0" w:lastRow="0" w:firstColumn="0" w:lastColumn="0" w:oddVBand="0" w:evenVBand="0" w:oddHBand="1" w:evenHBand="0" w:firstRowFirstColumn="0" w:firstRowLastColumn="0" w:lastRowFirstColumn="0" w:lastRowLastColumn="0"/>
              <w:rPr>
                <w:i/>
                <w:iCs/>
              </w:rPr>
            </w:pPr>
            <w:r w:rsidRPr="004A0183">
              <w:rPr>
                <w:rFonts w:cs="Calibri"/>
                <w:i/>
                <w:iCs/>
                <w:color w:val="000000"/>
              </w:rPr>
              <w:t>$</w:t>
            </w:r>
            <w:r>
              <w:rPr>
                <w:rFonts w:cs="Calibri"/>
                <w:i/>
                <w:iCs/>
                <w:color w:val="000000"/>
              </w:rPr>
              <w:t>593.8</w:t>
            </w:r>
          </w:p>
        </w:tc>
        <w:tc>
          <w:tcPr>
            <w:tcW w:w="1253" w:type="dxa"/>
            <w:tcBorders>
              <w:top w:val="single" w:sz="8" w:space="0" w:color="8EAADB" w:themeColor="accent1" w:themeTint="99"/>
              <w:left w:val="single" w:sz="8" w:space="0" w:color="8EAADB" w:themeColor="accent1" w:themeTint="99"/>
              <w:bottom w:val="single" w:sz="8" w:space="0" w:color="8EAADB" w:themeColor="accent1" w:themeTint="99"/>
              <w:right w:val="single" w:sz="12" w:space="0" w:color="8EAADB" w:themeColor="accent1" w:themeTint="99"/>
            </w:tcBorders>
            <w:vAlign w:val="center"/>
          </w:tcPr>
          <w:p w14:paraId="682467D2" w14:textId="77777777" w:rsidR="00254187" w:rsidRPr="004A0183" w:rsidRDefault="00254187" w:rsidP="00254187">
            <w:pPr>
              <w:pStyle w:val="TableText"/>
              <w:jc w:val="center"/>
              <w:cnfStyle w:val="000000100000" w:firstRow="0" w:lastRow="0" w:firstColumn="0" w:lastColumn="0" w:oddVBand="0" w:evenVBand="0" w:oddHBand="1" w:evenHBand="0" w:firstRowFirstColumn="0" w:firstRowLastColumn="0" w:lastRowFirstColumn="0" w:lastRowLastColumn="0"/>
              <w:rPr>
                <w:rFonts w:cs="Calibri"/>
                <w:i/>
                <w:iCs/>
                <w:color w:val="000000"/>
              </w:rPr>
            </w:pPr>
            <w:r w:rsidRPr="004A0183">
              <w:rPr>
                <w:rFonts w:cs="Calibri"/>
                <w:i/>
                <w:iCs/>
                <w:color w:val="000000"/>
              </w:rPr>
              <w:t>$</w:t>
            </w:r>
            <w:r>
              <w:rPr>
                <w:rFonts w:cs="Calibri"/>
                <w:i/>
                <w:iCs/>
                <w:color w:val="000000"/>
              </w:rPr>
              <w:t>593.8</w:t>
            </w:r>
          </w:p>
        </w:tc>
        <w:tc>
          <w:tcPr>
            <w:tcW w:w="1253" w:type="dxa"/>
            <w:vAlign w:val="center"/>
          </w:tcPr>
          <w:p w14:paraId="0AE8EA78" w14:textId="7AF70860" w:rsidR="00254187" w:rsidRPr="004A0183" w:rsidRDefault="00254187" w:rsidP="00254187">
            <w:pPr>
              <w:pStyle w:val="TableText"/>
              <w:jc w:val="center"/>
              <w:cnfStyle w:val="000000100000" w:firstRow="0" w:lastRow="0" w:firstColumn="0" w:lastColumn="0" w:oddVBand="0" w:evenVBand="0" w:oddHBand="1" w:evenHBand="0" w:firstRowFirstColumn="0" w:firstRowLastColumn="0" w:lastRowFirstColumn="0" w:lastRowLastColumn="0"/>
              <w:rPr>
                <w:rFonts w:cs="Calibri"/>
                <w:i/>
                <w:iCs/>
                <w:color w:val="000000"/>
              </w:rPr>
            </w:pPr>
            <w:r w:rsidRPr="004A0183">
              <w:rPr>
                <w:rFonts w:cs="Calibri"/>
                <w:i/>
                <w:iCs/>
                <w:color w:val="000000"/>
              </w:rPr>
              <w:t>$</w:t>
            </w:r>
            <w:r>
              <w:rPr>
                <w:rFonts w:cs="Calibri"/>
                <w:i/>
                <w:iCs/>
                <w:color w:val="000000"/>
              </w:rPr>
              <w:t>539.9</w:t>
            </w:r>
          </w:p>
        </w:tc>
        <w:tc>
          <w:tcPr>
            <w:tcW w:w="1253" w:type="dxa"/>
            <w:vAlign w:val="center"/>
          </w:tcPr>
          <w:p w14:paraId="75FEFE1B" w14:textId="48CF4F47" w:rsidR="00254187" w:rsidRPr="004A0183" w:rsidRDefault="00254187" w:rsidP="00254187">
            <w:pPr>
              <w:pStyle w:val="TableText"/>
              <w:jc w:val="center"/>
              <w:cnfStyle w:val="000000100000" w:firstRow="0" w:lastRow="0" w:firstColumn="0" w:lastColumn="0" w:oddVBand="0" w:evenVBand="0" w:oddHBand="1" w:evenHBand="0" w:firstRowFirstColumn="0" w:firstRowLastColumn="0" w:lastRowFirstColumn="0" w:lastRowLastColumn="0"/>
              <w:rPr>
                <w:rFonts w:cs="Calibri"/>
                <w:i/>
                <w:iCs/>
                <w:color w:val="000000"/>
              </w:rPr>
            </w:pPr>
            <w:r>
              <w:rPr>
                <w:rFonts w:cs="Calibri"/>
                <w:i/>
                <w:iCs/>
                <w:color w:val="000000"/>
              </w:rPr>
              <w:t>$539.9</w:t>
            </w:r>
          </w:p>
        </w:tc>
        <w:tc>
          <w:tcPr>
            <w:tcW w:w="1254" w:type="dxa"/>
            <w:tcBorders>
              <w:right w:val="single" w:sz="12" w:space="0" w:color="8EAADB" w:themeColor="accent1" w:themeTint="99"/>
            </w:tcBorders>
            <w:vAlign w:val="center"/>
          </w:tcPr>
          <w:p w14:paraId="0040B22A" w14:textId="2335F371" w:rsidR="00254187" w:rsidRPr="004A0183" w:rsidRDefault="00254187" w:rsidP="00254187">
            <w:pPr>
              <w:pStyle w:val="TableText"/>
              <w:jc w:val="center"/>
              <w:cnfStyle w:val="000000100000" w:firstRow="0" w:lastRow="0" w:firstColumn="0" w:lastColumn="0" w:oddVBand="0" w:evenVBand="0" w:oddHBand="1" w:evenHBand="0" w:firstRowFirstColumn="0" w:firstRowLastColumn="0" w:lastRowFirstColumn="0" w:lastRowLastColumn="0"/>
              <w:rPr>
                <w:rFonts w:cs="Calibri"/>
                <w:i/>
                <w:iCs/>
                <w:color w:val="000000"/>
              </w:rPr>
            </w:pPr>
            <w:r>
              <w:rPr>
                <w:rFonts w:cs="Calibri"/>
                <w:i/>
                <w:iCs/>
                <w:color w:val="000000"/>
              </w:rPr>
              <w:t>$539.9</w:t>
            </w:r>
          </w:p>
        </w:tc>
      </w:tr>
      <w:tr w:rsidR="00254187" w:rsidRPr="00524254" w14:paraId="59BAC282" w14:textId="2DE83FF0" w:rsidTr="00254187">
        <w:trPr>
          <w:trHeight w:val="360"/>
        </w:trPr>
        <w:tc>
          <w:tcPr>
            <w:cnfStyle w:val="001000000000" w:firstRow="0" w:lastRow="0" w:firstColumn="1" w:lastColumn="0" w:oddVBand="0" w:evenVBand="0" w:oddHBand="0" w:evenHBand="0" w:firstRowFirstColumn="0" w:firstRowLastColumn="0" w:lastRowFirstColumn="0" w:lastRowLastColumn="0"/>
            <w:tcW w:w="2016" w:type="dxa"/>
            <w:tcBorders>
              <w:left w:val="single" w:sz="12" w:space="0" w:color="8EAADB" w:themeColor="accent1" w:themeTint="99"/>
            </w:tcBorders>
            <w:vAlign w:val="center"/>
          </w:tcPr>
          <w:p w14:paraId="0CEEA18B" w14:textId="77777777" w:rsidR="00254187" w:rsidRPr="00823AC0" w:rsidRDefault="00254187" w:rsidP="00254187">
            <w:pPr>
              <w:pStyle w:val="TableText"/>
              <w:rPr>
                <w:b w:val="0"/>
                <w:bCs w:val="0"/>
              </w:rPr>
            </w:pPr>
            <w:r w:rsidRPr="00B2239F">
              <w:t>Emergency Supply Benefits</w:t>
            </w:r>
          </w:p>
        </w:tc>
        <w:tc>
          <w:tcPr>
            <w:tcW w:w="1253" w:type="dxa"/>
            <w:vAlign w:val="center"/>
          </w:tcPr>
          <w:p w14:paraId="39B7FB62" w14:textId="77777777" w:rsidR="00254187" w:rsidRPr="004A0183" w:rsidRDefault="00254187" w:rsidP="00254187">
            <w:pPr>
              <w:pStyle w:val="TableText"/>
              <w:jc w:val="center"/>
              <w:cnfStyle w:val="000000000000" w:firstRow="0" w:lastRow="0" w:firstColumn="0" w:lastColumn="0" w:oddVBand="0" w:evenVBand="0" w:oddHBand="0" w:evenHBand="0" w:firstRowFirstColumn="0" w:firstRowLastColumn="0" w:lastRowFirstColumn="0" w:lastRowLastColumn="0"/>
              <w:rPr>
                <w:i/>
                <w:iCs/>
              </w:rPr>
            </w:pPr>
            <w:r w:rsidRPr="004A0183">
              <w:rPr>
                <w:rFonts w:cs="Calibri"/>
                <w:i/>
                <w:iCs/>
                <w:color w:val="000000"/>
              </w:rPr>
              <w:t>-</w:t>
            </w:r>
          </w:p>
        </w:tc>
        <w:tc>
          <w:tcPr>
            <w:tcW w:w="1253" w:type="dxa"/>
            <w:tcBorders>
              <w:right w:val="single" w:sz="8" w:space="0" w:color="8EAADB" w:themeColor="accent1" w:themeTint="99"/>
            </w:tcBorders>
            <w:vAlign w:val="center"/>
          </w:tcPr>
          <w:p w14:paraId="6233A6AE" w14:textId="77777777" w:rsidR="00254187" w:rsidRPr="004A0183" w:rsidRDefault="00254187" w:rsidP="00254187">
            <w:pPr>
              <w:pStyle w:val="TableText"/>
              <w:jc w:val="center"/>
              <w:cnfStyle w:val="000000000000" w:firstRow="0" w:lastRow="0" w:firstColumn="0" w:lastColumn="0" w:oddVBand="0" w:evenVBand="0" w:oddHBand="0" w:evenHBand="0" w:firstRowFirstColumn="0" w:firstRowLastColumn="0" w:lastRowFirstColumn="0" w:lastRowLastColumn="0"/>
              <w:rPr>
                <w:i/>
                <w:iCs/>
              </w:rPr>
            </w:pPr>
            <w:r w:rsidRPr="004A0183">
              <w:rPr>
                <w:rFonts w:cs="Calibri"/>
                <w:i/>
                <w:iCs/>
                <w:color w:val="000000"/>
              </w:rPr>
              <w:t>$</w:t>
            </w:r>
            <w:r>
              <w:rPr>
                <w:rFonts w:cs="Calibri"/>
                <w:i/>
                <w:iCs/>
                <w:color w:val="000000"/>
              </w:rPr>
              <w:t>59.9</w:t>
            </w:r>
          </w:p>
        </w:tc>
        <w:tc>
          <w:tcPr>
            <w:tcW w:w="1253" w:type="dxa"/>
            <w:tcBorders>
              <w:top w:val="single" w:sz="8" w:space="0" w:color="8EAADB" w:themeColor="accent1" w:themeTint="99"/>
              <w:left w:val="single" w:sz="8" w:space="0" w:color="8EAADB" w:themeColor="accent1" w:themeTint="99"/>
              <w:bottom w:val="single" w:sz="8" w:space="0" w:color="8EAADB" w:themeColor="accent1" w:themeTint="99"/>
              <w:right w:val="single" w:sz="12" w:space="0" w:color="8EAADB" w:themeColor="accent1" w:themeTint="99"/>
            </w:tcBorders>
            <w:vAlign w:val="center"/>
          </w:tcPr>
          <w:p w14:paraId="728E575F" w14:textId="77777777" w:rsidR="00254187" w:rsidRPr="004A0183" w:rsidRDefault="00254187" w:rsidP="00254187">
            <w:pPr>
              <w:pStyle w:val="TableText"/>
              <w:jc w:val="center"/>
              <w:cnfStyle w:val="000000000000" w:firstRow="0" w:lastRow="0" w:firstColumn="0" w:lastColumn="0" w:oddVBand="0" w:evenVBand="0" w:oddHBand="0" w:evenHBand="0" w:firstRowFirstColumn="0" w:firstRowLastColumn="0" w:lastRowFirstColumn="0" w:lastRowLastColumn="0"/>
              <w:rPr>
                <w:rFonts w:cs="Calibri"/>
                <w:i/>
                <w:iCs/>
                <w:color w:val="000000"/>
              </w:rPr>
            </w:pPr>
            <w:r w:rsidRPr="004A0183">
              <w:rPr>
                <w:rFonts w:cs="Calibri"/>
                <w:i/>
                <w:iCs/>
                <w:color w:val="000000"/>
              </w:rPr>
              <w:t>$</w:t>
            </w:r>
            <w:r>
              <w:rPr>
                <w:rFonts w:cs="Calibri"/>
                <w:i/>
                <w:iCs/>
                <w:color w:val="000000"/>
              </w:rPr>
              <w:t>165.4</w:t>
            </w:r>
          </w:p>
        </w:tc>
        <w:tc>
          <w:tcPr>
            <w:tcW w:w="1253" w:type="dxa"/>
            <w:vAlign w:val="center"/>
          </w:tcPr>
          <w:p w14:paraId="3D81CEC2" w14:textId="2DBDE143" w:rsidR="00254187" w:rsidRPr="004A0183" w:rsidRDefault="00254187" w:rsidP="00254187">
            <w:pPr>
              <w:pStyle w:val="TableText"/>
              <w:jc w:val="center"/>
              <w:cnfStyle w:val="000000000000" w:firstRow="0" w:lastRow="0" w:firstColumn="0" w:lastColumn="0" w:oddVBand="0" w:evenVBand="0" w:oddHBand="0" w:evenHBand="0" w:firstRowFirstColumn="0" w:firstRowLastColumn="0" w:lastRowFirstColumn="0" w:lastRowLastColumn="0"/>
              <w:rPr>
                <w:rFonts w:cs="Calibri"/>
                <w:i/>
                <w:iCs/>
                <w:color w:val="000000"/>
              </w:rPr>
            </w:pPr>
            <w:r w:rsidRPr="004A0183">
              <w:rPr>
                <w:rFonts w:cs="Calibri"/>
                <w:i/>
                <w:iCs/>
                <w:color w:val="000000"/>
              </w:rPr>
              <w:t>-</w:t>
            </w:r>
          </w:p>
        </w:tc>
        <w:tc>
          <w:tcPr>
            <w:tcW w:w="1253" w:type="dxa"/>
            <w:vAlign w:val="center"/>
          </w:tcPr>
          <w:p w14:paraId="1C520C32" w14:textId="34FA7DC2" w:rsidR="00254187" w:rsidRPr="004A0183" w:rsidRDefault="00254187" w:rsidP="00254187">
            <w:pPr>
              <w:pStyle w:val="TableText"/>
              <w:jc w:val="center"/>
              <w:cnfStyle w:val="000000000000" w:firstRow="0" w:lastRow="0" w:firstColumn="0" w:lastColumn="0" w:oddVBand="0" w:evenVBand="0" w:oddHBand="0" w:evenHBand="0" w:firstRowFirstColumn="0" w:firstRowLastColumn="0" w:lastRowFirstColumn="0" w:lastRowLastColumn="0"/>
              <w:rPr>
                <w:rFonts w:cs="Calibri"/>
                <w:i/>
                <w:iCs/>
                <w:color w:val="000000"/>
              </w:rPr>
            </w:pPr>
            <w:r>
              <w:rPr>
                <w:rFonts w:cs="Calibri"/>
                <w:i/>
                <w:iCs/>
                <w:color w:val="000000"/>
              </w:rPr>
              <w:t>$59.9</w:t>
            </w:r>
          </w:p>
        </w:tc>
        <w:tc>
          <w:tcPr>
            <w:tcW w:w="1254" w:type="dxa"/>
            <w:tcBorders>
              <w:right w:val="single" w:sz="12" w:space="0" w:color="8EAADB" w:themeColor="accent1" w:themeTint="99"/>
            </w:tcBorders>
            <w:vAlign w:val="center"/>
          </w:tcPr>
          <w:p w14:paraId="41E9A2B8" w14:textId="270654CB" w:rsidR="00254187" w:rsidRPr="004A0183" w:rsidRDefault="00254187" w:rsidP="00254187">
            <w:pPr>
              <w:pStyle w:val="TableText"/>
              <w:jc w:val="center"/>
              <w:cnfStyle w:val="000000000000" w:firstRow="0" w:lastRow="0" w:firstColumn="0" w:lastColumn="0" w:oddVBand="0" w:evenVBand="0" w:oddHBand="0" w:evenHBand="0" w:firstRowFirstColumn="0" w:firstRowLastColumn="0" w:lastRowFirstColumn="0" w:lastRowLastColumn="0"/>
              <w:rPr>
                <w:rFonts w:cs="Calibri"/>
                <w:i/>
                <w:iCs/>
                <w:color w:val="000000"/>
              </w:rPr>
            </w:pPr>
            <w:r>
              <w:rPr>
                <w:rFonts w:cs="Calibri"/>
                <w:i/>
                <w:iCs/>
                <w:color w:val="000000"/>
              </w:rPr>
              <w:t>$165.4</w:t>
            </w:r>
          </w:p>
        </w:tc>
      </w:tr>
      <w:tr w:rsidR="00254187" w:rsidRPr="00524254" w14:paraId="0EA2EAAF" w14:textId="704BD8E5" w:rsidTr="0025418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016" w:type="dxa"/>
            <w:tcBorders>
              <w:left w:val="single" w:sz="12" w:space="0" w:color="8EAADB" w:themeColor="accent1" w:themeTint="99"/>
            </w:tcBorders>
            <w:vAlign w:val="center"/>
          </w:tcPr>
          <w:p w14:paraId="6CC4DDC0" w14:textId="77777777" w:rsidR="00254187" w:rsidRPr="00823AC0" w:rsidRDefault="00254187" w:rsidP="00254187">
            <w:pPr>
              <w:pStyle w:val="TableText"/>
              <w:rPr>
                <w:b w:val="0"/>
                <w:bCs w:val="0"/>
              </w:rPr>
            </w:pPr>
            <w:r w:rsidRPr="00FE6A8E">
              <w:t>E</w:t>
            </w:r>
            <w:r>
              <w:t>cosystem</w:t>
            </w:r>
            <w:r w:rsidRPr="00FE6A8E">
              <w:t xml:space="preserve"> Benefits</w:t>
            </w:r>
          </w:p>
        </w:tc>
        <w:tc>
          <w:tcPr>
            <w:tcW w:w="1253" w:type="dxa"/>
            <w:vAlign w:val="center"/>
          </w:tcPr>
          <w:p w14:paraId="577BF780" w14:textId="77777777" w:rsidR="00254187" w:rsidRPr="004A0183" w:rsidRDefault="00254187" w:rsidP="00254187">
            <w:pPr>
              <w:pStyle w:val="TableText"/>
              <w:jc w:val="center"/>
              <w:cnfStyle w:val="000000100000" w:firstRow="0" w:lastRow="0" w:firstColumn="0" w:lastColumn="0" w:oddVBand="0" w:evenVBand="0" w:oddHBand="1" w:evenHBand="0" w:firstRowFirstColumn="0" w:firstRowLastColumn="0" w:lastRowFirstColumn="0" w:lastRowLastColumn="0"/>
              <w:rPr>
                <w:i/>
                <w:iCs/>
              </w:rPr>
            </w:pPr>
            <w:r w:rsidRPr="004A0183">
              <w:rPr>
                <w:rFonts w:cs="Calibri"/>
                <w:i/>
                <w:iCs/>
                <w:color w:val="000000"/>
              </w:rPr>
              <w:t>-</w:t>
            </w:r>
          </w:p>
        </w:tc>
        <w:tc>
          <w:tcPr>
            <w:tcW w:w="1253" w:type="dxa"/>
            <w:tcBorders>
              <w:right w:val="single" w:sz="8" w:space="0" w:color="8EAADB" w:themeColor="accent1" w:themeTint="99"/>
            </w:tcBorders>
            <w:vAlign w:val="center"/>
          </w:tcPr>
          <w:p w14:paraId="49D2C0F1" w14:textId="77777777" w:rsidR="00254187" w:rsidRPr="004A0183" w:rsidRDefault="00254187" w:rsidP="00254187">
            <w:pPr>
              <w:pStyle w:val="TableText"/>
              <w:jc w:val="center"/>
              <w:cnfStyle w:val="000000100000" w:firstRow="0" w:lastRow="0" w:firstColumn="0" w:lastColumn="0" w:oddVBand="0" w:evenVBand="0" w:oddHBand="1" w:evenHBand="0" w:firstRowFirstColumn="0" w:firstRowLastColumn="0" w:lastRowFirstColumn="0" w:lastRowLastColumn="0"/>
              <w:rPr>
                <w:i/>
                <w:iCs/>
              </w:rPr>
            </w:pPr>
            <w:r w:rsidRPr="004A0183">
              <w:rPr>
                <w:i/>
                <w:iCs/>
              </w:rPr>
              <w:t>-</w:t>
            </w:r>
          </w:p>
        </w:tc>
        <w:tc>
          <w:tcPr>
            <w:tcW w:w="1253" w:type="dxa"/>
            <w:tcBorders>
              <w:top w:val="single" w:sz="8" w:space="0" w:color="8EAADB" w:themeColor="accent1" w:themeTint="99"/>
              <w:left w:val="single" w:sz="8" w:space="0" w:color="8EAADB" w:themeColor="accent1" w:themeTint="99"/>
              <w:bottom w:val="single" w:sz="8" w:space="0" w:color="8EAADB" w:themeColor="accent1" w:themeTint="99"/>
              <w:right w:val="single" w:sz="12" w:space="0" w:color="8EAADB" w:themeColor="accent1" w:themeTint="99"/>
            </w:tcBorders>
            <w:vAlign w:val="center"/>
          </w:tcPr>
          <w:p w14:paraId="3540B66B" w14:textId="77777777" w:rsidR="00254187" w:rsidRPr="004A0183" w:rsidRDefault="00254187" w:rsidP="00254187">
            <w:pPr>
              <w:pStyle w:val="TableText"/>
              <w:jc w:val="center"/>
              <w:cnfStyle w:val="000000100000" w:firstRow="0" w:lastRow="0" w:firstColumn="0" w:lastColumn="0" w:oddVBand="0" w:evenVBand="0" w:oddHBand="1" w:evenHBand="0" w:firstRowFirstColumn="0" w:firstRowLastColumn="0" w:lastRowFirstColumn="0" w:lastRowLastColumn="0"/>
              <w:rPr>
                <w:rFonts w:cs="Calibri"/>
                <w:i/>
                <w:iCs/>
                <w:color w:val="000000"/>
              </w:rPr>
            </w:pPr>
            <w:r w:rsidRPr="004A0183">
              <w:rPr>
                <w:rFonts w:cs="Calibri"/>
                <w:i/>
                <w:iCs/>
                <w:color w:val="000000"/>
              </w:rPr>
              <w:t>$119.7</w:t>
            </w:r>
          </w:p>
        </w:tc>
        <w:tc>
          <w:tcPr>
            <w:tcW w:w="1253" w:type="dxa"/>
            <w:vAlign w:val="center"/>
          </w:tcPr>
          <w:p w14:paraId="4C668D94" w14:textId="6877842E" w:rsidR="00254187" w:rsidRPr="004A0183" w:rsidRDefault="00254187" w:rsidP="00254187">
            <w:pPr>
              <w:pStyle w:val="TableText"/>
              <w:jc w:val="center"/>
              <w:cnfStyle w:val="000000100000" w:firstRow="0" w:lastRow="0" w:firstColumn="0" w:lastColumn="0" w:oddVBand="0" w:evenVBand="0" w:oddHBand="1" w:evenHBand="0" w:firstRowFirstColumn="0" w:firstRowLastColumn="0" w:lastRowFirstColumn="0" w:lastRowLastColumn="0"/>
              <w:rPr>
                <w:rFonts w:cs="Calibri"/>
                <w:i/>
                <w:iCs/>
                <w:color w:val="000000"/>
              </w:rPr>
            </w:pPr>
            <w:r w:rsidRPr="004A0183">
              <w:rPr>
                <w:rFonts w:cs="Calibri"/>
                <w:i/>
                <w:iCs/>
                <w:color w:val="000000"/>
              </w:rPr>
              <w:t>-</w:t>
            </w:r>
          </w:p>
        </w:tc>
        <w:tc>
          <w:tcPr>
            <w:tcW w:w="1253" w:type="dxa"/>
            <w:vAlign w:val="center"/>
          </w:tcPr>
          <w:p w14:paraId="0E2C1152" w14:textId="310E50BA" w:rsidR="00254187" w:rsidRPr="004A0183" w:rsidRDefault="00254187" w:rsidP="00254187">
            <w:pPr>
              <w:pStyle w:val="TableText"/>
              <w:jc w:val="center"/>
              <w:cnfStyle w:val="000000100000" w:firstRow="0" w:lastRow="0" w:firstColumn="0" w:lastColumn="0" w:oddVBand="0" w:evenVBand="0" w:oddHBand="1" w:evenHBand="0" w:firstRowFirstColumn="0" w:firstRowLastColumn="0" w:lastRowFirstColumn="0" w:lastRowLastColumn="0"/>
              <w:rPr>
                <w:rFonts w:cs="Calibri"/>
                <w:i/>
                <w:iCs/>
                <w:color w:val="000000"/>
              </w:rPr>
            </w:pPr>
            <w:r>
              <w:rPr>
                <w:rFonts w:cs="Calibri"/>
                <w:i/>
                <w:iCs/>
                <w:color w:val="000000"/>
              </w:rPr>
              <w:t>-</w:t>
            </w:r>
          </w:p>
        </w:tc>
        <w:tc>
          <w:tcPr>
            <w:tcW w:w="1254" w:type="dxa"/>
            <w:tcBorders>
              <w:right w:val="single" w:sz="12" w:space="0" w:color="8EAADB" w:themeColor="accent1" w:themeTint="99"/>
            </w:tcBorders>
            <w:vAlign w:val="center"/>
          </w:tcPr>
          <w:p w14:paraId="28CCC32D" w14:textId="38EFB907" w:rsidR="00254187" w:rsidRPr="004A0183" w:rsidRDefault="00254187" w:rsidP="00254187">
            <w:pPr>
              <w:pStyle w:val="TableText"/>
              <w:jc w:val="center"/>
              <w:cnfStyle w:val="000000100000" w:firstRow="0" w:lastRow="0" w:firstColumn="0" w:lastColumn="0" w:oddVBand="0" w:evenVBand="0" w:oddHBand="1" w:evenHBand="0" w:firstRowFirstColumn="0" w:firstRowLastColumn="0" w:lastRowFirstColumn="0" w:lastRowLastColumn="0"/>
              <w:rPr>
                <w:rFonts w:cs="Calibri"/>
                <w:i/>
                <w:iCs/>
                <w:color w:val="000000"/>
              </w:rPr>
            </w:pPr>
            <w:r>
              <w:rPr>
                <w:rFonts w:cs="Calibri"/>
                <w:i/>
                <w:iCs/>
                <w:color w:val="000000"/>
              </w:rPr>
              <w:t>-</w:t>
            </w:r>
          </w:p>
        </w:tc>
      </w:tr>
      <w:tr w:rsidR="00254187" w:rsidRPr="00524254" w14:paraId="488C753E" w14:textId="77777777" w:rsidTr="00254187">
        <w:trPr>
          <w:trHeight w:val="360"/>
        </w:trPr>
        <w:tc>
          <w:tcPr>
            <w:cnfStyle w:val="001000000000" w:firstRow="0" w:lastRow="0" w:firstColumn="1" w:lastColumn="0" w:oddVBand="0" w:evenVBand="0" w:oddHBand="0" w:evenHBand="0" w:firstRowFirstColumn="0" w:firstRowLastColumn="0" w:lastRowFirstColumn="0" w:lastRowLastColumn="0"/>
            <w:tcW w:w="2016" w:type="dxa"/>
            <w:tcBorders>
              <w:left w:val="single" w:sz="12" w:space="0" w:color="8EAADB" w:themeColor="accent1" w:themeTint="99"/>
            </w:tcBorders>
            <w:vAlign w:val="center"/>
          </w:tcPr>
          <w:p w14:paraId="6EF8D490" w14:textId="6333E212" w:rsidR="00254187" w:rsidRPr="00FE6A8E" w:rsidRDefault="00254187" w:rsidP="00254187">
            <w:pPr>
              <w:pStyle w:val="TableText"/>
            </w:pPr>
            <w:r w:rsidRPr="00555FE6">
              <w:t>Net Present Value</w:t>
            </w:r>
          </w:p>
        </w:tc>
        <w:tc>
          <w:tcPr>
            <w:tcW w:w="1253" w:type="dxa"/>
            <w:vAlign w:val="center"/>
          </w:tcPr>
          <w:p w14:paraId="5AFF7DD7" w14:textId="694282B7" w:rsidR="00254187" w:rsidRPr="00254187" w:rsidRDefault="00254187" w:rsidP="00254187">
            <w:pPr>
              <w:pStyle w:val="TableText"/>
              <w:jc w:val="center"/>
              <w:cnfStyle w:val="000000000000" w:firstRow="0" w:lastRow="0" w:firstColumn="0" w:lastColumn="0" w:oddVBand="0" w:evenVBand="0" w:oddHBand="0" w:evenHBand="0" w:firstRowFirstColumn="0" w:firstRowLastColumn="0" w:lastRowFirstColumn="0" w:lastRowLastColumn="0"/>
              <w:rPr>
                <w:rFonts w:cs="Calibri"/>
                <w:b/>
                <w:bCs/>
                <w:i/>
                <w:iCs/>
                <w:color w:val="000000"/>
              </w:rPr>
            </w:pPr>
            <w:r w:rsidRPr="00254187">
              <w:rPr>
                <w:rFonts w:cs="Calibri"/>
                <w:b/>
                <w:bCs/>
                <w:color w:val="000000"/>
              </w:rPr>
              <w:t>-</w:t>
            </w:r>
          </w:p>
        </w:tc>
        <w:tc>
          <w:tcPr>
            <w:tcW w:w="1253" w:type="dxa"/>
            <w:tcBorders>
              <w:right w:val="single" w:sz="8" w:space="0" w:color="8EAADB" w:themeColor="accent1" w:themeTint="99"/>
            </w:tcBorders>
            <w:vAlign w:val="center"/>
          </w:tcPr>
          <w:p w14:paraId="168B7FBE" w14:textId="379D929A" w:rsidR="00254187" w:rsidRPr="00254187" w:rsidRDefault="00254187" w:rsidP="00254187">
            <w:pPr>
              <w:pStyle w:val="TableText"/>
              <w:jc w:val="center"/>
              <w:cnfStyle w:val="000000000000" w:firstRow="0" w:lastRow="0" w:firstColumn="0" w:lastColumn="0" w:oddVBand="0" w:evenVBand="0" w:oddHBand="0" w:evenHBand="0" w:firstRowFirstColumn="0" w:firstRowLastColumn="0" w:lastRowFirstColumn="0" w:lastRowLastColumn="0"/>
              <w:rPr>
                <w:b/>
                <w:bCs/>
                <w:i/>
                <w:iCs/>
              </w:rPr>
            </w:pPr>
            <w:r w:rsidRPr="00254187">
              <w:rPr>
                <w:rFonts w:cs="Calibri"/>
                <w:b/>
                <w:bCs/>
                <w:color w:val="000000"/>
              </w:rPr>
              <w:t>$210.7</w:t>
            </w:r>
          </w:p>
        </w:tc>
        <w:tc>
          <w:tcPr>
            <w:tcW w:w="1253" w:type="dxa"/>
            <w:tcBorders>
              <w:top w:val="single" w:sz="8" w:space="0" w:color="8EAADB" w:themeColor="accent1" w:themeTint="99"/>
              <w:left w:val="single" w:sz="8" w:space="0" w:color="8EAADB" w:themeColor="accent1" w:themeTint="99"/>
              <w:bottom w:val="single" w:sz="8" w:space="0" w:color="8EAADB" w:themeColor="accent1" w:themeTint="99"/>
              <w:right w:val="single" w:sz="12" w:space="0" w:color="8EAADB" w:themeColor="accent1" w:themeTint="99"/>
            </w:tcBorders>
            <w:vAlign w:val="center"/>
          </w:tcPr>
          <w:p w14:paraId="00B05F50" w14:textId="330DFBE8" w:rsidR="00254187" w:rsidRPr="00254187" w:rsidRDefault="00254187" w:rsidP="00254187">
            <w:pPr>
              <w:pStyle w:val="TableText"/>
              <w:jc w:val="center"/>
              <w:cnfStyle w:val="000000000000" w:firstRow="0" w:lastRow="0" w:firstColumn="0" w:lastColumn="0" w:oddVBand="0" w:evenVBand="0" w:oddHBand="0" w:evenHBand="0" w:firstRowFirstColumn="0" w:firstRowLastColumn="0" w:lastRowFirstColumn="0" w:lastRowLastColumn="0"/>
              <w:rPr>
                <w:rFonts w:cs="Calibri"/>
                <w:b/>
                <w:bCs/>
                <w:i/>
                <w:iCs/>
                <w:color w:val="000000"/>
              </w:rPr>
            </w:pPr>
            <w:r w:rsidRPr="00254187">
              <w:rPr>
                <w:rFonts w:cs="Calibri"/>
                <w:b/>
                <w:bCs/>
                <w:color w:val="000000"/>
              </w:rPr>
              <w:t>$88.7</w:t>
            </w:r>
          </w:p>
        </w:tc>
        <w:tc>
          <w:tcPr>
            <w:tcW w:w="1253" w:type="dxa"/>
            <w:tcBorders>
              <w:left w:val="single" w:sz="12" w:space="0" w:color="8EAADB" w:themeColor="accent1" w:themeTint="99"/>
            </w:tcBorders>
            <w:vAlign w:val="center"/>
          </w:tcPr>
          <w:p w14:paraId="094537E3" w14:textId="4C16C56E" w:rsidR="00254187" w:rsidRPr="00254187" w:rsidRDefault="00254187" w:rsidP="00254187">
            <w:pPr>
              <w:pStyle w:val="TableText"/>
              <w:jc w:val="center"/>
              <w:cnfStyle w:val="000000000000" w:firstRow="0" w:lastRow="0" w:firstColumn="0" w:lastColumn="0" w:oddVBand="0" w:evenVBand="0" w:oddHBand="0" w:evenHBand="0" w:firstRowFirstColumn="0" w:firstRowLastColumn="0" w:lastRowFirstColumn="0" w:lastRowLastColumn="0"/>
              <w:rPr>
                <w:rFonts w:cs="Calibri"/>
                <w:b/>
                <w:bCs/>
                <w:color w:val="000000"/>
              </w:rPr>
            </w:pPr>
            <w:r w:rsidRPr="00254187">
              <w:rPr>
                <w:rFonts w:cs="Calibri"/>
                <w:b/>
                <w:bCs/>
                <w:color w:val="000000"/>
              </w:rPr>
              <w:t>-</w:t>
            </w:r>
          </w:p>
        </w:tc>
        <w:tc>
          <w:tcPr>
            <w:tcW w:w="1253" w:type="dxa"/>
            <w:vAlign w:val="center"/>
          </w:tcPr>
          <w:p w14:paraId="3F7DBF4E" w14:textId="0F3C7BD3" w:rsidR="00254187" w:rsidRPr="00254187" w:rsidRDefault="00254187" w:rsidP="00254187">
            <w:pPr>
              <w:pStyle w:val="TableText"/>
              <w:jc w:val="center"/>
              <w:cnfStyle w:val="000000000000" w:firstRow="0" w:lastRow="0" w:firstColumn="0" w:lastColumn="0" w:oddVBand="0" w:evenVBand="0" w:oddHBand="0" w:evenHBand="0" w:firstRowFirstColumn="0" w:firstRowLastColumn="0" w:lastRowFirstColumn="0" w:lastRowLastColumn="0"/>
              <w:rPr>
                <w:rFonts w:cs="Calibri"/>
                <w:b/>
                <w:bCs/>
                <w:color w:val="000000"/>
              </w:rPr>
            </w:pPr>
            <w:r w:rsidRPr="00254187">
              <w:rPr>
                <w:rFonts w:cs="Calibri"/>
                <w:b/>
                <w:bCs/>
                <w:color w:val="000000"/>
              </w:rPr>
              <w:t>$211.5</w:t>
            </w:r>
          </w:p>
        </w:tc>
        <w:tc>
          <w:tcPr>
            <w:tcW w:w="1254" w:type="dxa"/>
            <w:tcBorders>
              <w:right w:val="single" w:sz="12" w:space="0" w:color="8EAADB" w:themeColor="accent1" w:themeTint="99"/>
            </w:tcBorders>
            <w:vAlign w:val="center"/>
          </w:tcPr>
          <w:p w14:paraId="5620EF62" w14:textId="110BB5D6" w:rsidR="00254187" w:rsidRPr="00254187" w:rsidRDefault="00254187" w:rsidP="00254187">
            <w:pPr>
              <w:pStyle w:val="TableText"/>
              <w:jc w:val="center"/>
              <w:cnfStyle w:val="000000000000" w:firstRow="0" w:lastRow="0" w:firstColumn="0" w:lastColumn="0" w:oddVBand="0" w:evenVBand="0" w:oddHBand="0" w:evenHBand="0" w:firstRowFirstColumn="0" w:firstRowLastColumn="0" w:lastRowFirstColumn="0" w:lastRowLastColumn="0"/>
              <w:rPr>
                <w:rFonts w:cs="Calibri"/>
                <w:b/>
                <w:bCs/>
                <w:color w:val="000000"/>
              </w:rPr>
            </w:pPr>
            <w:r w:rsidRPr="00254187">
              <w:rPr>
                <w:rFonts w:cs="Calibri"/>
                <w:b/>
                <w:bCs/>
                <w:color w:val="000000"/>
              </w:rPr>
              <w:t>$221.4</w:t>
            </w:r>
          </w:p>
        </w:tc>
      </w:tr>
      <w:tr w:rsidR="00254187" w:rsidRPr="00524254" w14:paraId="0D8D9F77" w14:textId="77777777" w:rsidTr="0025418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016" w:type="dxa"/>
            <w:tcBorders>
              <w:left w:val="single" w:sz="12" w:space="0" w:color="8EAADB" w:themeColor="accent1" w:themeTint="99"/>
              <w:bottom w:val="single" w:sz="12" w:space="0" w:color="8EAADB" w:themeColor="accent1" w:themeTint="99"/>
            </w:tcBorders>
            <w:vAlign w:val="center"/>
          </w:tcPr>
          <w:p w14:paraId="4EB65E93" w14:textId="1FFDDF83" w:rsidR="00254187" w:rsidRPr="00FE6A8E" w:rsidRDefault="00254187" w:rsidP="00254187">
            <w:pPr>
              <w:pStyle w:val="TableText"/>
            </w:pPr>
            <w:r w:rsidRPr="00555FE6">
              <w:t>Benefit – Cost Ratio</w:t>
            </w:r>
          </w:p>
        </w:tc>
        <w:tc>
          <w:tcPr>
            <w:tcW w:w="1253" w:type="dxa"/>
            <w:tcBorders>
              <w:bottom w:val="single" w:sz="12" w:space="0" w:color="8EAADB" w:themeColor="accent1" w:themeTint="99"/>
            </w:tcBorders>
            <w:vAlign w:val="center"/>
          </w:tcPr>
          <w:p w14:paraId="4557084A" w14:textId="36CE1AA0" w:rsidR="00254187" w:rsidRPr="00254187" w:rsidRDefault="00254187" w:rsidP="00254187">
            <w:pPr>
              <w:pStyle w:val="TableText"/>
              <w:jc w:val="center"/>
              <w:cnfStyle w:val="000000100000" w:firstRow="0" w:lastRow="0" w:firstColumn="0" w:lastColumn="0" w:oddVBand="0" w:evenVBand="0" w:oddHBand="1" w:evenHBand="0" w:firstRowFirstColumn="0" w:firstRowLastColumn="0" w:lastRowFirstColumn="0" w:lastRowLastColumn="0"/>
              <w:rPr>
                <w:rFonts w:cs="Calibri"/>
                <w:b/>
                <w:bCs/>
                <w:i/>
                <w:iCs/>
                <w:color w:val="000000"/>
              </w:rPr>
            </w:pPr>
            <w:r w:rsidRPr="00254187">
              <w:rPr>
                <w:rFonts w:cs="Calibri"/>
                <w:b/>
                <w:bCs/>
                <w:color w:val="000000"/>
              </w:rPr>
              <w:t>1.00</w:t>
            </w:r>
          </w:p>
        </w:tc>
        <w:tc>
          <w:tcPr>
            <w:tcW w:w="1253" w:type="dxa"/>
            <w:tcBorders>
              <w:bottom w:val="single" w:sz="12" w:space="0" w:color="8EAADB" w:themeColor="accent1" w:themeTint="99"/>
            </w:tcBorders>
            <w:vAlign w:val="center"/>
          </w:tcPr>
          <w:p w14:paraId="36E5E563" w14:textId="1BE03E66" w:rsidR="00254187" w:rsidRPr="00254187" w:rsidRDefault="00254187" w:rsidP="00254187">
            <w:pPr>
              <w:pStyle w:val="TableText"/>
              <w:jc w:val="center"/>
              <w:cnfStyle w:val="000000100000" w:firstRow="0" w:lastRow="0" w:firstColumn="0" w:lastColumn="0" w:oddVBand="0" w:evenVBand="0" w:oddHBand="1" w:evenHBand="0" w:firstRowFirstColumn="0" w:firstRowLastColumn="0" w:lastRowFirstColumn="0" w:lastRowLastColumn="0"/>
              <w:rPr>
                <w:b/>
                <w:bCs/>
                <w:i/>
                <w:iCs/>
              </w:rPr>
            </w:pPr>
            <w:r w:rsidRPr="00254187">
              <w:rPr>
                <w:rFonts w:cs="Calibri"/>
                <w:b/>
                <w:bCs/>
                <w:color w:val="000000"/>
              </w:rPr>
              <w:t>1.22</w:t>
            </w:r>
          </w:p>
        </w:tc>
        <w:tc>
          <w:tcPr>
            <w:tcW w:w="1253" w:type="dxa"/>
            <w:tcBorders>
              <w:top w:val="single" w:sz="8" w:space="0" w:color="8EAADB" w:themeColor="accent1" w:themeTint="99"/>
              <w:bottom w:val="single" w:sz="12" w:space="0" w:color="8EAADB" w:themeColor="accent1" w:themeTint="99"/>
              <w:right w:val="single" w:sz="12" w:space="0" w:color="8EAADB" w:themeColor="accent1" w:themeTint="99"/>
            </w:tcBorders>
            <w:vAlign w:val="center"/>
          </w:tcPr>
          <w:p w14:paraId="2C9DCD06" w14:textId="04C69378" w:rsidR="00254187" w:rsidRPr="00254187" w:rsidRDefault="00254187" w:rsidP="00254187">
            <w:pPr>
              <w:pStyle w:val="TableText"/>
              <w:jc w:val="center"/>
              <w:cnfStyle w:val="000000100000" w:firstRow="0" w:lastRow="0" w:firstColumn="0" w:lastColumn="0" w:oddVBand="0" w:evenVBand="0" w:oddHBand="1" w:evenHBand="0" w:firstRowFirstColumn="0" w:firstRowLastColumn="0" w:lastRowFirstColumn="0" w:lastRowLastColumn="0"/>
              <w:rPr>
                <w:rFonts w:cs="Calibri"/>
                <w:b/>
                <w:bCs/>
                <w:i/>
                <w:iCs/>
                <w:color w:val="000000"/>
              </w:rPr>
            </w:pPr>
            <w:r w:rsidRPr="00254187">
              <w:rPr>
                <w:rFonts w:cs="Calibri"/>
                <w:b/>
                <w:bCs/>
                <w:color w:val="000000"/>
              </w:rPr>
              <w:t>1.08</w:t>
            </w:r>
          </w:p>
        </w:tc>
        <w:tc>
          <w:tcPr>
            <w:tcW w:w="1253" w:type="dxa"/>
            <w:tcBorders>
              <w:left w:val="single" w:sz="12" w:space="0" w:color="8EAADB" w:themeColor="accent1" w:themeTint="99"/>
              <w:bottom w:val="single" w:sz="12" w:space="0" w:color="8EAADB" w:themeColor="accent1" w:themeTint="99"/>
            </w:tcBorders>
            <w:vAlign w:val="center"/>
          </w:tcPr>
          <w:p w14:paraId="3CCF32A6" w14:textId="20A0FC4E" w:rsidR="00254187" w:rsidRPr="00254187" w:rsidRDefault="00254187" w:rsidP="00254187">
            <w:pPr>
              <w:pStyle w:val="TableText"/>
              <w:jc w:val="center"/>
              <w:cnfStyle w:val="000000100000" w:firstRow="0" w:lastRow="0" w:firstColumn="0" w:lastColumn="0" w:oddVBand="0" w:evenVBand="0" w:oddHBand="1" w:evenHBand="0" w:firstRowFirstColumn="0" w:firstRowLastColumn="0" w:lastRowFirstColumn="0" w:lastRowLastColumn="0"/>
              <w:rPr>
                <w:rFonts w:cs="Calibri"/>
                <w:b/>
                <w:bCs/>
                <w:color w:val="000000"/>
              </w:rPr>
            </w:pPr>
            <w:r w:rsidRPr="00254187">
              <w:rPr>
                <w:rFonts w:cs="Calibri"/>
                <w:b/>
                <w:bCs/>
                <w:color w:val="000000"/>
              </w:rPr>
              <w:t>1.00</w:t>
            </w:r>
          </w:p>
        </w:tc>
        <w:tc>
          <w:tcPr>
            <w:tcW w:w="1253" w:type="dxa"/>
            <w:tcBorders>
              <w:bottom w:val="single" w:sz="12" w:space="0" w:color="8EAADB" w:themeColor="accent1" w:themeTint="99"/>
            </w:tcBorders>
            <w:vAlign w:val="center"/>
          </w:tcPr>
          <w:p w14:paraId="73D6F17A" w14:textId="582B8948" w:rsidR="00254187" w:rsidRPr="00254187" w:rsidRDefault="00254187" w:rsidP="00254187">
            <w:pPr>
              <w:pStyle w:val="TableText"/>
              <w:jc w:val="center"/>
              <w:cnfStyle w:val="000000100000" w:firstRow="0" w:lastRow="0" w:firstColumn="0" w:lastColumn="0" w:oddVBand="0" w:evenVBand="0" w:oddHBand="1" w:evenHBand="0" w:firstRowFirstColumn="0" w:firstRowLastColumn="0" w:lastRowFirstColumn="0" w:lastRowLastColumn="0"/>
              <w:rPr>
                <w:rFonts w:cs="Calibri"/>
                <w:b/>
                <w:bCs/>
                <w:color w:val="000000"/>
              </w:rPr>
            </w:pPr>
            <w:r w:rsidRPr="00254187">
              <w:rPr>
                <w:rFonts w:cs="Calibri"/>
                <w:b/>
                <w:bCs/>
                <w:color w:val="000000"/>
              </w:rPr>
              <w:t>1.23</w:t>
            </w:r>
          </w:p>
        </w:tc>
        <w:tc>
          <w:tcPr>
            <w:tcW w:w="1254" w:type="dxa"/>
            <w:tcBorders>
              <w:bottom w:val="single" w:sz="12" w:space="0" w:color="8EAADB" w:themeColor="accent1" w:themeTint="99"/>
              <w:right w:val="single" w:sz="12" w:space="0" w:color="8EAADB" w:themeColor="accent1" w:themeTint="99"/>
            </w:tcBorders>
            <w:vAlign w:val="center"/>
          </w:tcPr>
          <w:p w14:paraId="17FADA19" w14:textId="6DB35C5F" w:rsidR="00254187" w:rsidRPr="00254187" w:rsidRDefault="00254187" w:rsidP="00254187">
            <w:pPr>
              <w:pStyle w:val="TableText"/>
              <w:jc w:val="center"/>
              <w:cnfStyle w:val="000000100000" w:firstRow="0" w:lastRow="0" w:firstColumn="0" w:lastColumn="0" w:oddVBand="0" w:evenVBand="0" w:oddHBand="1" w:evenHBand="0" w:firstRowFirstColumn="0" w:firstRowLastColumn="0" w:lastRowFirstColumn="0" w:lastRowLastColumn="0"/>
              <w:rPr>
                <w:rFonts w:cs="Calibri"/>
                <w:b/>
                <w:bCs/>
                <w:color w:val="000000"/>
              </w:rPr>
            </w:pPr>
            <w:r w:rsidRPr="00254187">
              <w:rPr>
                <w:rFonts w:cs="Calibri"/>
                <w:b/>
                <w:bCs/>
                <w:color w:val="000000"/>
              </w:rPr>
              <w:t>1.23</w:t>
            </w:r>
          </w:p>
        </w:tc>
      </w:tr>
    </w:tbl>
    <w:p w14:paraId="3AFC65B3" w14:textId="77777777" w:rsidR="00E031E6" w:rsidRDefault="00E031E6" w:rsidP="0036615A"/>
    <w:sectPr w:rsidR="00E031E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B69809" w14:textId="77777777" w:rsidR="00E031E6" w:rsidRDefault="00E031E6" w:rsidP="00E031E6">
      <w:pPr>
        <w:spacing w:after="0" w:line="240" w:lineRule="auto"/>
      </w:pPr>
      <w:r>
        <w:separator/>
      </w:r>
    </w:p>
  </w:endnote>
  <w:endnote w:type="continuationSeparator" w:id="0">
    <w:p w14:paraId="489B9115" w14:textId="77777777" w:rsidR="00E031E6" w:rsidRDefault="00E031E6" w:rsidP="00E03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0661803"/>
      <w:docPartObj>
        <w:docPartGallery w:val="Page Numbers (Bottom of Page)"/>
        <w:docPartUnique/>
      </w:docPartObj>
    </w:sdtPr>
    <w:sdtEndPr>
      <w:rPr>
        <w:noProof/>
      </w:rPr>
    </w:sdtEndPr>
    <w:sdtContent>
      <w:p w14:paraId="17B205C9" w14:textId="17D5765F" w:rsidR="00F21A29" w:rsidRDefault="00F21A2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1F4346" w14:textId="77777777" w:rsidR="00F21A29" w:rsidRDefault="00F21A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74E9C1" w14:textId="77777777" w:rsidR="00E031E6" w:rsidRDefault="00E031E6" w:rsidP="00E031E6">
      <w:pPr>
        <w:spacing w:after="0" w:line="240" w:lineRule="auto"/>
      </w:pPr>
      <w:r>
        <w:separator/>
      </w:r>
    </w:p>
  </w:footnote>
  <w:footnote w:type="continuationSeparator" w:id="0">
    <w:p w14:paraId="538EDBA8" w14:textId="77777777" w:rsidR="00E031E6" w:rsidRDefault="00E031E6" w:rsidP="00E031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321F5F" w14:textId="0D07CA28" w:rsidR="00F21A29" w:rsidRDefault="00F21A29">
    <w:pPr>
      <w:pStyle w:val="Header"/>
    </w:pPr>
    <w:r>
      <w:t>October 20, 2021</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6464CB"/>
    <w:multiLevelType w:val="hybridMultilevel"/>
    <w:tmpl w:val="1F2AF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0B3AC6"/>
    <w:multiLevelType w:val="hybridMultilevel"/>
    <w:tmpl w:val="03F4020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07F"/>
    <w:rsid w:val="00013EC6"/>
    <w:rsid w:val="00254187"/>
    <w:rsid w:val="0026107F"/>
    <w:rsid w:val="002D6639"/>
    <w:rsid w:val="0036615A"/>
    <w:rsid w:val="00424B0F"/>
    <w:rsid w:val="004A36A2"/>
    <w:rsid w:val="004D2B0C"/>
    <w:rsid w:val="00555FE6"/>
    <w:rsid w:val="00584D8A"/>
    <w:rsid w:val="0059097E"/>
    <w:rsid w:val="00707A33"/>
    <w:rsid w:val="0091032F"/>
    <w:rsid w:val="00C57F2E"/>
    <w:rsid w:val="00D73694"/>
    <w:rsid w:val="00E031E6"/>
    <w:rsid w:val="00E45DEC"/>
    <w:rsid w:val="00F21A29"/>
    <w:rsid w:val="00FA7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98627"/>
  <w15:chartTrackingRefBased/>
  <w15:docId w15:val="{84D34573-269F-4F18-B91C-96B14D4CF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1A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7A33"/>
    <w:pPr>
      <w:ind w:left="720"/>
      <w:contextualSpacing/>
    </w:pPr>
  </w:style>
  <w:style w:type="table" w:styleId="GridTable4-Accent1">
    <w:name w:val="Grid Table 4 Accent 1"/>
    <w:basedOn w:val="TableNormal"/>
    <w:uiPriority w:val="49"/>
    <w:rsid w:val="00E031E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ootnoteText">
    <w:name w:val="footnote text"/>
    <w:basedOn w:val="Normal"/>
    <w:link w:val="FootnoteTextChar"/>
    <w:uiPriority w:val="99"/>
    <w:semiHidden/>
    <w:unhideWhenUsed/>
    <w:rsid w:val="00E031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31E6"/>
    <w:rPr>
      <w:sz w:val="20"/>
      <w:szCs w:val="20"/>
    </w:rPr>
  </w:style>
  <w:style w:type="character" w:styleId="FootnoteReference">
    <w:name w:val="footnote reference"/>
    <w:basedOn w:val="DefaultParagraphFont"/>
    <w:uiPriority w:val="99"/>
    <w:semiHidden/>
    <w:unhideWhenUsed/>
    <w:rsid w:val="00E031E6"/>
    <w:rPr>
      <w:vertAlign w:val="superscript"/>
    </w:rPr>
  </w:style>
  <w:style w:type="paragraph" w:customStyle="1" w:styleId="TableText">
    <w:name w:val="Table Text"/>
    <w:basedOn w:val="Normal"/>
    <w:qFormat/>
    <w:rsid w:val="00E031E6"/>
    <w:pPr>
      <w:spacing w:before="40" w:after="40" w:line="240" w:lineRule="auto"/>
    </w:pPr>
    <w:rPr>
      <w:rFonts w:cstheme="minorHAnsi"/>
    </w:rPr>
  </w:style>
  <w:style w:type="paragraph" w:customStyle="1" w:styleId="TableTitle">
    <w:name w:val="Table Title"/>
    <w:uiPriority w:val="5"/>
    <w:qFormat/>
    <w:rsid w:val="00E031E6"/>
    <w:pPr>
      <w:keepNext/>
      <w:widowControl w:val="0"/>
      <w:tabs>
        <w:tab w:val="left" w:pos="1170"/>
      </w:tabs>
      <w:autoSpaceDE w:val="0"/>
      <w:autoSpaceDN w:val="0"/>
      <w:spacing w:before="240" w:after="40" w:line="240" w:lineRule="auto"/>
    </w:pPr>
    <w:rPr>
      <w:rFonts w:ascii="Arial" w:eastAsia="Arial" w:hAnsi="Arial" w:cs="Arial"/>
      <w:b/>
      <w:color w:val="231F20"/>
      <w:szCs w:val="20"/>
      <w:lang w:bidi="en-US"/>
    </w:rPr>
  </w:style>
  <w:style w:type="character" w:customStyle="1" w:styleId="Heading1Char">
    <w:name w:val="Heading 1 Char"/>
    <w:basedOn w:val="DefaultParagraphFont"/>
    <w:link w:val="Heading1"/>
    <w:uiPriority w:val="9"/>
    <w:rsid w:val="00F21A29"/>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F21A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A29"/>
  </w:style>
  <w:style w:type="paragraph" w:styleId="Footer">
    <w:name w:val="footer"/>
    <w:basedOn w:val="Normal"/>
    <w:link w:val="FooterChar"/>
    <w:uiPriority w:val="99"/>
    <w:unhideWhenUsed/>
    <w:rsid w:val="00F21A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18ECCE612F8E43927A9BF70373EA85" ma:contentTypeVersion="12" ma:contentTypeDescription="Create a new document." ma:contentTypeScope="" ma:versionID="169d3ef7c61c7ccb8054829c8c147089">
  <xsd:schema xmlns:xsd="http://www.w3.org/2001/XMLSchema" xmlns:xs="http://www.w3.org/2001/XMLSchema" xmlns:p="http://schemas.microsoft.com/office/2006/metadata/properties" xmlns:ns2="af98a681-3258-49d5-930c-da6de47417e2" xmlns:ns3="4bf0912c-83fb-483e-a14a-33f0987d9d49" targetNamespace="http://schemas.microsoft.com/office/2006/metadata/properties" ma:root="true" ma:fieldsID="8cdd430c05167dd460ca0a72106ea954" ns2:_="" ns3:_="">
    <xsd:import namespace="af98a681-3258-49d5-930c-da6de47417e2"/>
    <xsd:import namespace="4bf0912c-83fb-483e-a14a-33f0987d9d4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98a681-3258-49d5-930c-da6de47417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f0912c-83fb-483e-a14a-33f0987d9d4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BC1158-5CC1-45E3-9C00-B061CA1E4CCD}"/>
</file>

<file path=customXml/itemProps2.xml><?xml version="1.0" encoding="utf-8"?>
<ds:datastoreItem xmlns:ds="http://schemas.openxmlformats.org/officeDocument/2006/customXml" ds:itemID="{DAB9A37C-A588-4320-8D30-497A046A8227}"/>
</file>

<file path=customXml/itemProps3.xml><?xml version="1.0" encoding="utf-8"?>
<ds:datastoreItem xmlns:ds="http://schemas.openxmlformats.org/officeDocument/2006/customXml" ds:itemID="{BE39C0FA-90F5-48FC-80BC-04C23E124328}"/>
</file>

<file path=docProps/app.xml><?xml version="1.0" encoding="utf-8"?>
<Properties xmlns="http://schemas.openxmlformats.org/officeDocument/2006/extended-properties" xmlns:vt="http://schemas.openxmlformats.org/officeDocument/2006/docPropsVTypes">
  <Template>Normal</Template>
  <TotalTime>0</TotalTime>
  <Pages>3</Pages>
  <Words>1062</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Cowin, Mark</dc:creator>
  <cp:keywords/>
  <dc:description/>
  <cp:lastModifiedBy>Elizabeth</cp:lastModifiedBy>
  <cp:revision>2</cp:revision>
  <dcterms:created xsi:type="dcterms:W3CDTF">2021-11-02T16:00:00Z</dcterms:created>
  <dcterms:modified xsi:type="dcterms:W3CDTF">2021-11-02T16:00:00Z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0x0101008C18ECCE612F8E43927A9BF70373EA85</vt:lpwstr>
  </property>
</Properties>
</file>